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FE" w:rsidRPr="00D64FD0" w:rsidRDefault="009243FE" w:rsidP="0071236E">
      <w:pPr>
        <w:jc w:val="both"/>
        <w:rPr>
          <w:rFonts w:ascii="Arial" w:hAnsi="Arial" w:cs="Arial"/>
          <w:sz w:val="20"/>
          <w:szCs w:val="20"/>
        </w:rPr>
      </w:pPr>
    </w:p>
    <w:p w:rsidR="009243FE" w:rsidRPr="00A34E06" w:rsidRDefault="009243FE" w:rsidP="0071236E">
      <w:pPr>
        <w:jc w:val="both"/>
        <w:rPr>
          <w:rFonts w:ascii="Arial" w:hAnsi="Arial" w:cs="Arial"/>
          <w:sz w:val="44"/>
          <w:szCs w:val="44"/>
        </w:rPr>
      </w:pPr>
    </w:p>
    <w:p w:rsidR="0071236E" w:rsidRPr="00A34E06" w:rsidRDefault="00505B34" w:rsidP="0071236E">
      <w:pPr>
        <w:ind w:left="1134"/>
        <w:jc w:val="center"/>
        <w:rPr>
          <w:rFonts w:ascii="Arial" w:eastAsia="Times New Roman" w:hAnsi="Arial" w:cs="Arial"/>
          <w:b/>
          <w:noProof/>
          <w:color w:val="514B64"/>
          <w:sz w:val="44"/>
          <w:szCs w:val="44"/>
        </w:rPr>
      </w:pPr>
      <w:r w:rsidRPr="00A34E06">
        <w:rPr>
          <w:rFonts w:ascii="Arial" w:eastAsia="Times New Roman" w:hAnsi="Arial" w:cs="Arial"/>
          <w:b/>
          <w:noProof/>
          <w:color w:val="514B64"/>
          <w:sz w:val="44"/>
          <w:szCs w:val="44"/>
        </w:rPr>
        <w:t>Infections Ostéoa</w:t>
      </w:r>
      <w:r w:rsidR="0071236E" w:rsidRPr="00A34E06">
        <w:rPr>
          <w:rFonts w:ascii="Arial" w:eastAsia="Times New Roman" w:hAnsi="Arial" w:cs="Arial"/>
          <w:b/>
          <w:noProof/>
          <w:color w:val="514B64"/>
          <w:sz w:val="44"/>
          <w:szCs w:val="44"/>
        </w:rPr>
        <w:t>rticulaire</w:t>
      </w:r>
      <w:r w:rsidRPr="00A34E06">
        <w:rPr>
          <w:rFonts w:ascii="Arial" w:eastAsia="Times New Roman" w:hAnsi="Arial" w:cs="Arial"/>
          <w:b/>
          <w:noProof/>
          <w:color w:val="514B64"/>
          <w:sz w:val="44"/>
          <w:szCs w:val="44"/>
        </w:rPr>
        <w:t>s</w:t>
      </w:r>
      <w:r w:rsidR="0071236E" w:rsidRPr="00A34E06">
        <w:rPr>
          <w:rFonts w:ascii="Arial" w:eastAsia="Times New Roman" w:hAnsi="Arial" w:cs="Arial"/>
          <w:b/>
          <w:noProof/>
          <w:color w:val="514B64"/>
          <w:sz w:val="44"/>
          <w:szCs w:val="44"/>
        </w:rPr>
        <w:t xml:space="preserve"> (IOA) dans le PMSI</w:t>
      </w:r>
    </w:p>
    <w:p w:rsidR="0071236E" w:rsidRPr="00BC210B" w:rsidRDefault="0071236E" w:rsidP="0071236E">
      <w:pPr>
        <w:pStyle w:val="Titre"/>
        <w:ind w:left="1134" w:right="0"/>
        <w:rPr>
          <w:color w:val="FF0000"/>
        </w:rPr>
      </w:pPr>
      <w:bookmarkStart w:id="0" w:name="_Toc491871866"/>
      <w:bookmarkStart w:id="1" w:name="_Toc496085688"/>
      <w:bookmarkStart w:id="2" w:name="_Toc496087836"/>
      <w:bookmarkStart w:id="3" w:name="_Toc496088270"/>
      <w:bookmarkStart w:id="4" w:name="_Toc496088454"/>
      <w:bookmarkStart w:id="5" w:name="_Toc496088737"/>
      <w:bookmarkStart w:id="6" w:name="_Toc496603302"/>
      <w:r w:rsidRPr="0071236E">
        <w:t xml:space="preserve">A partir de la version </w:t>
      </w:r>
      <w:r w:rsidRPr="006B73B7">
        <w:t>11</w:t>
      </w:r>
      <w:bookmarkEnd w:id="0"/>
      <w:bookmarkEnd w:id="1"/>
      <w:bookmarkEnd w:id="2"/>
      <w:bookmarkEnd w:id="3"/>
      <w:bookmarkEnd w:id="4"/>
      <w:bookmarkEnd w:id="5"/>
      <w:r w:rsidR="006B73B7">
        <w:t xml:space="preserve"> </w:t>
      </w:r>
      <w:r w:rsidR="00BC210B" w:rsidRPr="006B73B7">
        <w:t>de la classification en GHM</w:t>
      </w:r>
      <w:bookmarkEnd w:id="6"/>
    </w:p>
    <w:bookmarkStart w:id="7" w:name="_Toc491871867"/>
    <w:bookmarkStart w:id="8" w:name="_Toc496085689"/>
    <w:bookmarkStart w:id="9" w:name="_Toc496087837"/>
    <w:bookmarkStart w:id="10" w:name="_Toc496088271"/>
    <w:bookmarkStart w:id="11" w:name="_Toc496088455"/>
    <w:bookmarkStart w:id="12" w:name="_Toc496088738"/>
    <w:bookmarkStart w:id="13" w:name="_Toc496603303"/>
    <w:p w:rsidR="0071236E" w:rsidRPr="008C153C" w:rsidRDefault="0071236E" w:rsidP="0071236E">
      <w:pPr>
        <w:pStyle w:val="Titre"/>
      </w:pPr>
      <w:r>
        <w:rPr>
          <w:lang w:eastAsia="fr-FR"/>
        </w:rPr>
        <mc:AlternateContent>
          <mc:Choice Requires="wps">
            <w:drawing>
              <wp:anchor distT="0" distB="0" distL="114300" distR="114300" simplePos="0" relativeHeight="251659264" behindDoc="0" locked="0" layoutInCell="1" allowOverlap="1" wp14:anchorId="542AA356" wp14:editId="02C900F9">
                <wp:simplePos x="0" y="0"/>
                <wp:positionH relativeFrom="column">
                  <wp:posOffset>737870</wp:posOffset>
                </wp:positionH>
                <wp:positionV relativeFrom="paragraph">
                  <wp:posOffset>244061</wp:posOffset>
                </wp:positionV>
                <wp:extent cx="5033010" cy="0"/>
                <wp:effectExtent l="0" t="19050" r="34290" b="19050"/>
                <wp:wrapNone/>
                <wp:docPr id="5" name="Connecteur droit 5"/>
                <wp:cNvGraphicFramePr/>
                <a:graphic xmlns:a="http://schemas.openxmlformats.org/drawingml/2006/main">
                  <a:graphicData uri="http://schemas.microsoft.com/office/word/2010/wordprocessingShape">
                    <wps:wsp>
                      <wps:cNvCnPr/>
                      <wps:spPr>
                        <a:xfrm>
                          <a:off x="0" y="0"/>
                          <a:ext cx="503301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33E9E"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19.2pt" to="454.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" strokecolor="#00a6d5" strokeweight="3pt"/>
            </w:pict>
          </mc:Fallback>
        </mc:AlternateContent>
      </w:r>
      <w:bookmarkEnd w:id="7"/>
      <w:bookmarkEnd w:id="8"/>
      <w:bookmarkEnd w:id="9"/>
      <w:bookmarkEnd w:id="10"/>
      <w:bookmarkEnd w:id="11"/>
      <w:bookmarkEnd w:id="12"/>
      <w:bookmarkEnd w:id="13"/>
    </w:p>
    <w:p w:rsidR="0071236E" w:rsidRPr="0011140B" w:rsidRDefault="00A34E06" w:rsidP="006A2B2A">
      <w:pPr>
        <w:pStyle w:val="Sous-titre"/>
        <w:ind w:left="1134"/>
        <w:jc w:val="both"/>
        <w:outlineLvl w:val="9"/>
        <w:rPr>
          <w:sz w:val="20"/>
          <w:szCs w:val="20"/>
        </w:rPr>
      </w:pPr>
      <w:r>
        <w:rPr>
          <w:sz w:val="20"/>
          <w:szCs w:val="20"/>
        </w:rPr>
        <w:t xml:space="preserve"> </w:t>
      </w:r>
    </w:p>
    <w:p w:rsidR="0068159E" w:rsidRDefault="0068159E">
      <w:pPr>
        <w:rPr>
          <w:rFonts w:ascii="Arial" w:hAnsi="Arial" w:cs="Arial"/>
          <w:sz w:val="20"/>
          <w:szCs w:val="20"/>
        </w:rPr>
      </w:pPr>
    </w:p>
    <w:p w:rsidR="001A391F" w:rsidRDefault="001A391F">
      <w:pPr>
        <w:rPr>
          <w:rFonts w:ascii="Arial" w:hAnsi="Arial" w:cs="Arial"/>
          <w:sz w:val="20"/>
          <w:szCs w:val="20"/>
        </w:rPr>
      </w:pPr>
    </w:p>
    <w:p w:rsidR="001A391F" w:rsidRDefault="001A391F">
      <w:pPr>
        <w:rPr>
          <w:rFonts w:ascii="Arial" w:hAnsi="Arial" w:cs="Arial"/>
          <w:sz w:val="20"/>
          <w:szCs w:val="20"/>
        </w:rPr>
      </w:pPr>
      <w:r>
        <w:rPr>
          <w:rFonts w:ascii="Arial" w:hAnsi="Arial" w:cs="Arial"/>
          <w:sz w:val="20"/>
          <w:szCs w:val="20"/>
        </w:rPr>
        <w:br w:type="page"/>
      </w:r>
      <w:bookmarkStart w:id="14" w:name="_GoBack"/>
      <w:bookmarkEnd w:id="14"/>
    </w:p>
    <w:sdt>
      <w:sdtPr>
        <w:rPr>
          <w:rFonts w:asciiTheme="minorHAnsi" w:eastAsiaTheme="minorHAnsi" w:hAnsiTheme="minorHAnsi" w:cstheme="minorBidi"/>
          <w:color w:val="auto"/>
          <w:sz w:val="22"/>
          <w:szCs w:val="22"/>
          <w:lang w:eastAsia="en-US"/>
        </w:rPr>
        <w:id w:val="2077004623"/>
        <w:docPartObj>
          <w:docPartGallery w:val="Table of Contents"/>
          <w:docPartUnique/>
        </w:docPartObj>
      </w:sdtPr>
      <w:sdtEndPr>
        <w:rPr>
          <w:rFonts w:ascii="Arial" w:hAnsi="Arial" w:cs="Arial"/>
          <w:bCs/>
          <w:sz w:val="20"/>
          <w:szCs w:val="20"/>
        </w:rPr>
      </w:sdtEndPr>
      <w:sdtContent>
        <w:p w:rsidR="00F22EB4" w:rsidRPr="00F22EB4" w:rsidRDefault="00B0198F">
          <w:pPr>
            <w:pStyle w:val="En-ttedetabledesmatires"/>
            <w:rPr>
              <w:color w:val="00A6D5"/>
            </w:rPr>
          </w:pPr>
          <w:r>
            <w:rPr>
              <w:color w:val="00A6D5"/>
            </w:rPr>
            <w:t>Sommaire</w:t>
          </w:r>
        </w:p>
        <w:p w:rsidR="004667C1" w:rsidRPr="004667C1" w:rsidRDefault="00F22EB4" w:rsidP="004667C1">
          <w:pPr>
            <w:pStyle w:val="TM1"/>
            <w:rPr>
              <w:rFonts w:ascii="Arial" w:eastAsiaTheme="minorEastAsia" w:hAnsi="Arial" w:cs="Arial"/>
              <w:noProof/>
              <w:sz w:val="20"/>
              <w:szCs w:val="20"/>
              <w:lang w:eastAsia="fr-FR"/>
            </w:rPr>
          </w:pPr>
          <w:r w:rsidRPr="004667C1">
            <w:rPr>
              <w:rFonts w:ascii="Arial" w:hAnsi="Arial" w:cs="Arial"/>
              <w:sz w:val="20"/>
              <w:szCs w:val="20"/>
            </w:rPr>
            <w:fldChar w:fldCharType="begin"/>
          </w:r>
          <w:r w:rsidRPr="004667C1">
            <w:rPr>
              <w:rFonts w:ascii="Arial" w:hAnsi="Arial" w:cs="Arial"/>
              <w:sz w:val="20"/>
              <w:szCs w:val="20"/>
            </w:rPr>
            <w:instrText xml:space="preserve"> TOC \o "1-3" \h \z \u </w:instrText>
          </w:r>
          <w:r w:rsidRPr="004667C1">
            <w:rPr>
              <w:rFonts w:ascii="Arial" w:hAnsi="Arial" w:cs="Arial"/>
              <w:sz w:val="20"/>
              <w:szCs w:val="20"/>
            </w:rPr>
            <w:fldChar w:fldCharType="separate"/>
          </w:r>
        </w:p>
        <w:p w:rsidR="004667C1" w:rsidRDefault="002332DF">
          <w:pPr>
            <w:pStyle w:val="TM1"/>
            <w:tabs>
              <w:tab w:val="left" w:pos="440"/>
            </w:tabs>
            <w:rPr>
              <w:rStyle w:val="Lienhypertexte"/>
              <w:rFonts w:ascii="Arial" w:hAnsi="Arial" w:cs="Arial"/>
              <w:noProof/>
              <w:sz w:val="20"/>
              <w:szCs w:val="20"/>
            </w:rPr>
          </w:pPr>
          <w:hyperlink w:anchor="_Toc496603304" w:history="1">
            <w:r w:rsidR="004667C1" w:rsidRPr="004667C1">
              <w:rPr>
                <w:rStyle w:val="Lienhypertexte"/>
                <w:rFonts w:ascii="Arial" w:hAnsi="Arial" w:cs="Arial"/>
                <w:noProof/>
                <w:sz w:val="20"/>
                <w:szCs w:val="20"/>
              </w:rPr>
              <w:t>1.</w:t>
            </w:r>
            <w:r w:rsidR="004667C1" w:rsidRPr="004667C1">
              <w:rPr>
                <w:rFonts w:ascii="Arial" w:eastAsiaTheme="minorEastAsia" w:hAnsi="Arial" w:cs="Arial"/>
                <w:noProof/>
                <w:sz w:val="20"/>
                <w:szCs w:val="20"/>
                <w:lang w:eastAsia="fr-FR"/>
              </w:rPr>
              <w:tab/>
            </w:r>
            <w:r w:rsidR="004667C1" w:rsidRPr="004667C1">
              <w:rPr>
                <w:rStyle w:val="Lienhypertexte"/>
                <w:rFonts w:ascii="Arial" w:hAnsi="Arial" w:cs="Arial"/>
                <w:noProof/>
                <w:sz w:val="20"/>
                <w:szCs w:val="20"/>
              </w:rPr>
              <w:t>Les IOA : définitions</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_Toc496603304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3</w:t>
            </w:r>
            <w:r w:rsidR="004667C1" w:rsidRPr="004667C1">
              <w:rPr>
                <w:rFonts w:ascii="Arial" w:hAnsi="Arial" w:cs="Arial"/>
                <w:noProof/>
                <w:webHidden/>
                <w:sz w:val="20"/>
                <w:szCs w:val="20"/>
              </w:rPr>
              <w:fldChar w:fldCharType="end"/>
            </w:r>
          </w:hyperlink>
        </w:p>
        <w:p w:rsidR="004667C1" w:rsidRPr="004667C1" w:rsidRDefault="004667C1" w:rsidP="004667C1"/>
        <w:p w:rsidR="004667C1" w:rsidRPr="004667C1" w:rsidRDefault="002332DF">
          <w:pPr>
            <w:pStyle w:val="TM1"/>
            <w:tabs>
              <w:tab w:val="left" w:pos="440"/>
            </w:tabs>
            <w:rPr>
              <w:rFonts w:ascii="Arial" w:eastAsiaTheme="minorEastAsia" w:hAnsi="Arial" w:cs="Arial"/>
              <w:noProof/>
              <w:sz w:val="20"/>
              <w:szCs w:val="20"/>
              <w:lang w:eastAsia="fr-FR"/>
            </w:rPr>
          </w:pPr>
          <w:hyperlink w:anchor="_Toc496603305" w:history="1">
            <w:r w:rsidR="004667C1" w:rsidRPr="004667C1">
              <w:rPr>
                <w:rStyle w:val="Lienhypertexte"/>
                <w:rFonts w:ascii="Arial" w:hAnsi="Arial" w:cs="Arial"/>
                <w:noProof/>
                <w:sz w:val="20"/>
                <w:szCs w:val="20"/>
              </w:rPr>
              <w:t>2.</w:t>
            </w:r>
            <w:r w:rsidR="004667C1" w:rsidRPr="004667C1">
              <w:rPr>
                <w:rFonts w:ascii="Arial" w:eastAsiaTheme="minorEastAsia" w:hAnsi="Arial" w:cs="Arial"/>
                <w:noProof/>
                <w:sz w:val="20"/>
                <w:szCs w:val="20"/>
                <w:lang w:eastAsia="fr-FR"/>
              </w:rPr>
              <w:tab/>
            </w:r>
            <w:r w:rsidR="004667C1" w:rsidRPr="004667C1">
              <w:rPr>
                <w:rStyle w:val="Lienhypertexte"/>
                <w:rFonts w:ascii="Arial" w:hAnsi="Arial" w:cs="Arial"/>
                <w:noProof/>
                <w:sz w:val="20"/>
                <w:szCs w:val="20"/>
              </w:rPr>
              <w:t>Présentation des différents centres de prise en charge des IOA</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_Toc496603305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3</w:t>
            </w:r>
            <w:r w:rsidR="004667C1" w:rsidRPr="004667C1">
              <w:rPr>
                <w:rFonts w:ascii="Arial" w:hAnsi="Arial" w:cs="Arial"/>
                <w:noProof/>
                <w:webHidden/>
                <w:sz w:val="20"/>
                <w:szCs w:val="20"/>
              </w:rPr>
              <w:fldChar w:fldCharType="end"/>
            </w:r>
          </w:hyperlink>
        </w:p>
        <w:p w:rsidR="004667C1" w:rsidRPr="004667C1" w:rsidRDefault="002332DF" w:rsidP="00353512">
          <w:pPr>
            <w:pStyle w:val="TM2"/>
            <w:rPr>
              <w:noProof/>
            </w:rPr>
          </w:pPr>
          <w:hyperlink w:anchor="_Toc496603306" w:history="1">
            <w:r w:rsidR="004667C1" w:rsidRPr="004667C1">
              <w:rPr>
                <w:rStyle w:val="Lienhypertexte"/>
                <w:rFonts w:ascii="Arial" w:hAnsi="Arial" w:cs="Arial"/>
                <w:noProof/>
                <w:sz w:val="20"/>
                <w:szCs w:val="20"/>
              </w:rPr>
              <w:t>i.</w:t>
            </w:r>
            <w:r w:rsidR="004667C1" w:rsidRPr="004667C1">
              <w:rPr>
                <w:noProof/>
              </w:rPr>
              <w:tab/>
            </w:r>
            <w:r w:rsidR="004667C1" w:rsidRPr="004667C1">
              <w:rPr>
                <w:rStyle w:val="Lienhypertexte"/>
                <w:rFonts w:ascii="Arial" w:hAnsi="Arial" w:cs="Arial"/>
                <w:noProof/>
                <w:sz w:val="20"/>
                <w:szCs w:val="20"/>
              </w:rPr>
              <w:t>La création des centres de référence</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_Toc496603306 \h </w:instrText>
            </w:r>
            <w:r w:rsidR="004667C1" w:rsidRPr="004667C1">
              <w:rPr>
                <w:noProof/>
                <w:webHidden/>
              </w:rPr>
            </w:r>
            <w:r w:rsidR="004667C1" w:rsidRPr="004667C1">
              <w:rPr>
                <w:noProof/>
                <w:webHidden/>
              </w:rPr>
              <w:fldChar w:fldCharType="separate"/>
            </w:r>
            <w:r w:rsidR="004667C1" w:rsidRPr="004667C1">
              <w:rPr>
                <w:noProof/>
                <w:webHidden/>
              </w:rPr>
              <w:t>3</w:t>
            </w:r>
            <w:r w:rsidR="004667C1" w:rsidRPr="004667C1">
              <w:rPr>
                <w:noProof/>
                <w:webHidden/>
              </w:rPr>
              <w:fldChar w:fldCharType="end"/>
            </w:r>
          </w:hyperlink>
        </w:p>
        <w:p w:rsidR="004667C1" w:rsidRPr="004667C1" w:rsidRDefault="002332DF" w:rsidP="00353512">
          <w:pPr>
            <w:pStyle w:val="TM2"/>
            <w:rPr>
              <w:noProof/>
            </w:rPr>
          </w:pPr>
          <w:hyperlink w:anchor="_Toc496603307" w:history="1">
            <w:r w:rsidR="004667C1" w:rsidRPr="004667C1">
              <w:rPr>
                <w:rStyle w:val="Lienhypertexte"/>
                <w:rFonts w:ascii="Arial" w:hAnsi="Arial" w:cs="Arial"/>
                <w:noProof/>
                <w:sz w:val="20"/>
                <w:szCs w:val="20"/>
              </w:rPr>
              <w:t>ii.</w:t>
            </w:r>
            <w:r w:rsidR="004667C1" w:rsidRPr="004667C1">
              <w:rPr>
                <w:noProof/>
              </w:rPr>
              <w:tab/>
            </w:r>
            <w:r w:rsidR="004667C1" w:rsidRPr="004667C1">
              <w:rPr>
                <w:rStyle w:val="Lienhypertexte"/>
                <w:rFonts w:ascii="Arial" w:hAnsi="Arial" w:cs="Arial"/>
                <w:noProof/>
                <w:sz w:val="20"/>
                <w:szCs w:val="20"/>
              </w:rPr>
              <w:t>Les centres correspondants</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_Toc496603307 \h </w:instrText>
            </w:r>
            <w:r w:rsidR="004667C1" w:rsidRPr="004667C1">
              <w:rPr>
                <w:noProof/>
                <w:webHidden/>
              </w:rPr>
            </w:r>
            <w:r w:rsidR="004667C1" w:rsidRPr="004667C1">
              <w:rPr>
                <w:noProof/>
                <w:webHidden/>
              </w:rPr>
              <w:fldChar w:fldCharType="separate"/>
            </w:r>
            <w:r w:rsidR="004667C1" w:rsidRPr="004667C1">
              <w:rPr>
                <w:noProof/>
                <w:webHidden/>
              </w:rPr>
              <w:t>4</w:t>
            </w:r>
            <w:r w:rsidR="004667C1" w:rsidRPr="004667C1">
              <w:rPr>
                <w:noProof/>
                <w:webHidden/>
              </w:rPr>
              <w:fldChar w:fldCharType="end"/>
            </w:r>
          </w:hyperlink>
        </w:p>
        <w:p w:rsidR="004667C1" w:rsidRPr="004667C1" w:rsidRDefault="002332DF" w:rsidP="00353512">
          <w:pPr>
            <w:pStyle w:val="TM2"/>
            <w:rPr>
              <w:noProof/>
            </w:rPr>
          </w:pPr>
          <w:hyperlink w:anchor="_Toc496603308" w:history="1">
            <w:r w:rsidR="004667C1" w:rsidRPr="004667C1">
              <w:rPr>
                <w:rStyle w:val="Lienhypertexte"/>
                <w:rFonts w:ascii="Arial" w:hAnsi="Arial" w:cs="Arial"/>
                <w:noProof/>
                <w:sz w:val="20"/>
                <w:szCs w:val="20"/>
              </w:rPr>
              <w:t>iii.</w:t>
            </w:r>
            <w:r w:rsidR="004667C1" w:rsidRPr="004667C1">
              <w:rPr>
                <w:noProof/>
              </w:rPr>
              <w:tab/>
            </w:r>
            <w:r w:rsidR="004667C1" w:rsidRPr="004667C1">
              <w:rPr>
                <w:rStyle w:val="Lienhypertexte"/>
                <w:rFonts w:ascii="Arial" w:hAnsi="Arial" w:cs="Arial"/>
                <w:noProof/>
                <w:sz w:val="20"/>
                <w:szCs w:val="20"/>
              </w:rPr>
              <w:t>Les autres établissements</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_Toc496603308 \h </w:instrText>
            </w:r>
            <w:r w:rsidR="004667C1" w:rsidRPr="004667C1">
              <w:rPr>
                <w:noProof/>
                <w:webHidden/>
              </w:rPr>
            </w:r>
            <w:r w:rsidR="004667C1" w:rsidRPr="004667C1">
              <w:rPr>
                <w:noProof/>
                <w:webHidden/>
              </w:rPr>
              <w:fldChar w:fldCharType="separate"/>
            </w:r>
            <w:r w:rsidR="004667C1" w:rsidRPr="004667C1">
              <w:rPr>
                <w:noProof/>
                <w:webHidden/>
              </w:rPr>
              <w:t>5</w:t>
            </w:r>
            <w:r w:rsidR="004667C1" w:rsidRPr="004667C1">
              <w:rPr>
                <w:noProof/>
                <w:webHidden/>
              </w:rPr>
              <w:fldChar w:fldCharType="end"/>
            </w:r>
          </w:hyperlink>
        </w:p>
        <w:p w:rsidR="004667C1" w:rsidRDefault="002332DF" w:rsidP="00353512">
          <w:pPr>
            <w:pStyle w:val="TM2"/>
            <w:rPr>
              <w:rStyle w:val="Lienhypertexte"/>
              <w:rFonts w:ascii="Arial" w:hAnsi="Arial" w:cs="Arial"/>
              <w:noProof/>
              <w:sz w:val="20"/>
              <w:szCs w:val="20"/>
            </w:rPr>
          </w:pPr>
          <w:hyperlink w:anchor="_Toc496603309" w:history="1">
            <w:r w:rsidR="004667C1" w:rsidRPr="004667C1">
              <w:rPr>
                <w:rStyle w:val="Lienhypertexte"/>
                <w:rFonts w:ascii="Arial" w:hAnsi="Arial" w:cs="Arial"/>
                <w:noProof/>
                <w:sz w:val="20"/>
                <w:szCs w:val="20"/>
              </w:rPr>
              <w:t>iv.</w:t>
            </w:r>
            <w:r w:rsidR="004667C1" w:rsidRPr="004667C1">
              <w:rPr>
                <w:noProof/>
              </w:rPr>
              <w:tab/>
            </w:r>
            <w:r w:rsidR="004667C1" w:rsidRPr="004667C1">
              <w:rPr>
                <w:rStyle w:val="Lienhypertexte"/>
                <w:rFonts w:ascii="Arial" w:hAnsi="Arial" w:cs="Arial"/>
                <w:noProof/>
                <w:sz w:val="20"/>
                <w:szCs w:val="20"/>
              </w:rPr>
              <w:t>Les structures d’aval</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_Toc496603309 \h </w:instrText>
            </w:r>
            <w:r w:rsidR="004667C1" w:rsidRPr="004667C1">
              <w:rPr>
                <w:noProof/>
                <w:webHidden/>
              </w:rPr>
            </w:r>
            <w:r w:rsidR="004667C1" w:rsidRPr="004667C1">
              <w:rPr>
                <w:noProof/>
                <w:webHidden/>
              </w:rPr>
              <w:fldChar w:fldCharType="separate"/>
            </w:r>
            <w:r w:rsidR="004667C1" w:rsidRPr="004667C1">
              <w:rPr>
                <w:noProof/>
                <w:webHidden/>
              </w:rPr>
              <w:t>5</w:t>
            </w:r>
            <w:r w:rsidR="004667C1" w:rsidRPr="004667C1">
              <w:rPr>
                <w:noProof/>
                <w:webHidden/>
              </w:rPr>
              <w:fldChar w:fldCharType="end"/>
            </w:r>
          </w:hyperlink>
        </w:p>
        <w:p w:rsidR="004667C1" w:rsidRPr="004667C1" w:rsidRDefault="004667C1" w:rsidP="004667C1">
          <w:pPr>
            <w:rPr>
              <w:lang w:eastAsia="fr-FR"/>
            </w:rPr>
          </w:pPr>
        </w:p>
        <w:p w:rsidR="004667C1" w:rsidRDefault="002332DF">
          <w:pPr>
            <w:pStyle w:val="TM1"/>
            <w:tabs>
              <w:tab w:val="left" w:pos="440"/>
            </w:tabs>
            <w:rPr>
              <w:rStyle w:val="Lienhypertexte"/>
              <w:rFonts w:ascii="Arial" w:hAnsi="Arial" w:cs="Arial"/>
              <w:noProof/>
              <w:sz w:val="20"/>
              <w:szCs w:val="20"/>
            </w:rPr>
          </w:pPr>
          <w:hyperlink w:anchor="_Toc496603310" w:history="1">
            <w:r w:rsidR="004667C1" w:rsidRPr="004667C1">
              <w:rPr>
                <w:rStyle w:val="Lienhypertexte"/>
                <w:rFonts w:ascii="Arial" w:hAnsi="Arial" w:cs="Arial"/>
                <w:noProof/>
                <w:sz w:val="20"/>
                <w:szCs w:val="20"/>
              </w:rPr>
              <w:t>3.</w:t>
            </w:r>
            <w:r w:rsidR="004667C1" w:rsidRPr="004667C1">
              <w:rPr>
                <w:rFonts w:ascii="Arial" w:eastAsiaTheme="minorEastAsia" w:hAnsi="Arial" w:cs="Arial"/>
                <w:noProof/>
                <w:sz w:val="20"/>
                <w:szCs w:val="20"/>
                <w:lang w:eastAsia="fr-FR"/>
              </w:rPr>
              <w:tab/>
            </w:r>
            <w:r w:rsidR="004667C1" w:rsidRPr="004667C1">
              <w:rPr>
                <w:rStyle w:val="Lienhypertexte"/>
                <w:rFonts w:ascii="Arial" w:hAnsi="Arial" w:cs="Arial"/>
                <w:noProof/>
                <w:sz w:val="20"/>
                <w:szCs w:val="20"/>
              </w:rPr>
              <w:t>Présentation du dispositif</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_Toc496603310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5</w:t>
            </w:r>
            <w:r w:rsidR="004667C1" w:rsidRPr="004667C1">
              <w:rPr>
                <w:rFonts w:ascii="Arial" w:hAnsi="Arial" w:cs="Arial"/>
                <w:noProof/>
                <w:webHidden/>
                <w:sz w:val="20"/>
                <w:szCs w:val="20"/>
              </w:rPr>
              <w:fldChar w:fldCharType="end"/>
            </w:r>
          </w:hyperlink>
        </w:p>
        <w:p w:rsidR="00407B7E" w:rsidRPr="00407B7E" w:rsidRDefault="00407B7E" w:rsidP="00407B7E"/>
        <w:p w:rsidR="004667C1" w:rsidRPr="004667C1" w:rsidRDefault="002332DF">
          <w:pPr>
            <w:pStyle w:val="TM1"/>
            <w:tabs>
              <w:tab w:val="left" w:pos="440"/>
            </w:tabs>
            <w:rPr>
              <w:rFonts w:ascii="Arial" w:eastAsiaTheme="minorEastAsia" w:hAnsi="Arial" w:cs="Arial"/>
              <w:noProof/>
              <w:sz w:val="20"/>
              <w:szCs w:val="20"/>
              <w:lang w:eastAsia="fr-FR"/>
            </w:rPr>
          </w:pPr>
          <w:hyperlink w:anchor="_Toc496603311" w:history="1">
            <w:r w:rsidR="004667C1" w:rsidRPr="004667C1">
              <w:rPr>
                <w:rStyle w:val="Lienhypertexte"/>
                <w:rFonts w:ascii="Arial" w:hAnsi="Arial" w:cs="Arial"/>
                <w:noProof/>
                <w:sz w:val="20"/>
                <w:szCs w:val="20"/>
              </w:rPr>
              <w:t>4.</w:t>
            </w:r>
            <w:r w:rsidR="004667C1" w:rsidRPr="004667C1">
              <w:rPr>
                <w:rFonts w:ascii="Arial" w:eastAsiaTheme="minorEastAsia" w:hAnsi="Arial" w:cs="Arial"/>
                <w:noProof/>
                <w:sz w:val="20"/>
                <w:szCs w:val="20"/>
                <w:lang w:eastAsia="fr-FR"/>
              </w:rPr>
              <w:tab/>
            </w:r>
            <w:r w:rsidR="004667C1" w:rsidRPr="004667C1">
              <w:rPr>
                <w:rStyle w:val="Lienhypertexte"/>
                <w:rFonts w:ascii="Arial" w:hAnsi="Arial" w:cs="Arial"/>
                <w:noProof/>
                <w:sz w:val="20"/>
                <w:szCs w:val="20"/>
              </w:rPr>
              <w:t>Règles de codage du PMSI et facturation</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_Toc496603311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6</w:t>
            </w:r>
            <w:r w:rsidR="004667C1" w:rsidRPr="004667C1">
              <w:rPr>
                <w:rFonts w:ascii="Arial" w:hAnsi="Arial" w:cs="Arial"/>
                <w:noProof/>
                <w:webHidden/>
                <w:sz w:val="20"/>
                <w:szCs w:val="20"/>
              </w:rPr>
              <w:fldChar w:fldCharType="end"/>
            </w:r>
          </w:hyperlink>
        </w:p>
        <w:p w:rsidR="004667C1" w:rsidRPr="004667C1" w:rsidRDefault="002332DF" w:rsidP="00353512">
          <w:pPr>
            <w:pStyle w:val="TM2"/>
            <w:rPr>
              <w:noProof/>
            </w:rPr>
          </w:pPr>
          <w:hyperlink w:anchor="_Toc496603312" w:history="1">
            <w:r w:rsidR="004667C1" w:rsidRPr="004667C1">
              <w:rPr>
                <w:rStyle w:val="Lienhypertexte"/>
                <w:rFonts w:ascii="Arial" w:hAnsi="Arial" w:cs="Arial"/>
                <w:noProof/>
                <w:sz w:val="20"/>
                <w:szCs w:val="20"/>
              </w:rPr>
              <w:t>i.</w:t>
            </w:r>
            <w:r w:rsidR="004667C1" w:rsidRPr="004667C1">
              <w:rPr>
                <w:noProof/>
              </w:rPr>
              <w:tab/>
            </w:r>
            <w:r w:rsidR="004667C1" w:rsidRPr="004667C1">
              <w:rPr>
                <w:rStyle w:val="Lienhypertexte"/>
                <w:rFonts w:ascii="Arial" w:hAnsi="Arial" w:cs="Arial"/>
                <w:noProof/>
                <w:sz w:val="20"/>
                <w:szCs w:val="20"/>
              </w:rPr>
              <w:t>Racines et diagnostic pour les IOA</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_Toc496603312 \h </w:instrText>
            </w:r>
            <w:r w:rsidR="004667C1" w:rsidRPr="004667C1">
              <w:rPr>
                <w:noProof/>
                <w:webHidden/>
              </w:rPr>
            </w:r>
            <w:r w:rsidR="004667C1" w:rsidRPr="004667C1">
              <w:rPr>
                <w:noProof/>
                <w:webHidden/>
              </w:rPr>
              <w:fldChar w:fldCharType="separate"/>
            </w:r>
            <w:r w:rsidR="004667C1" w:rsidRPr="004667C1">
              <w:rPr>
                <w:noProof/>
                <w:webHidden/>
              </w:rPr>
              <w:t>6</w:t>
            </w:r>
            <w:r w:rsidR="004667C1" w:rsidRPr="004667C1">
              <w:rPr>
                <w:noProof/>
                <w:webHidden/>
              </w:rPr>
              <w:fldChar w:fldCharType="end"/>
            </w:r>
          </w:hyperlink>
        </w:p>
        <w:p w:rsidR="004667C1" w:rsidRPr="004667C1" w:rsidRDefault="002332DF" w:rsidP="00353512">
          <w:pPr>
            <w:pStyle w:val="TM2"/>
            <w:rPr>
              <w:noProof/>
            </w:rPr>
          </w:pPr>
          <w:hyperlink w:anchor="_Toc496603313" w:history="1">
            <w:r w:rsidR="004667C1" w:rsidRPr="004667C1">
              <w:rPr>
                <w:rStyle w:val="Lienhypertexte"/>
                <w:rFonts w:ascii="Arial" w:hAnsi="Arial" w:cs="Arial"/>
                <w:noProof/>
                <w:sz w:val="20"/>
                <w:szCs w:val="20"/>
              </w:rPr>
              <w:t>ii.</w:t>
            </w:r>
            <w:r w:rsidR="004667C1" w:rsidRPr="004667C1">
              <w:rPr>
                <w:noProof/>
              </w:rPr>
              <w:tab/>
            </w:r>
            <w:r w:rsidR="004667C1" w:rsidRPr="004667C1">
              <w:rPr>
                <w:rStyle w:val="Lienhypertexte"/>
                <w:rFonts w:ascii="Arial" w:hAnsi="Arial" w:cs="Arial"/>
                <w:noProof/>
                <w:sz w:val="20"/>
                <w:szCs w:val="20"/>
              </w:rPr>
              <w:t>Les centres de référence et correspondants</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_Toc496603313 \h </w:instrText>
            </w:r>
            <w:r w:rsidR="004667C1" w:rsidRPr="004667C1">
              <w:rPr>
                <w:noProof/>
                <w:webHidden/>
              </w:rPr>
            </w:r>
            <w:r w:rsidR="004667C1" w:rsidRPr="004667C1">
              <w:rPr>
                <w:noProof/>
                <w:webHidden/>
              </w:rPr>
              <w:fldChar w:fldCharType="separate"/>
            </w:r>
            <w:r w:rsidR="004667C1" w:rsidRPr="004667C1">
              <w:rPr>
                <w:noProof/>
                <w:webHidden/>
              </w:rPr>
              <w:t>7</w:t>
            </w:r>
            <w:r w:rsidR="004667C1" w:rsidRPr="004667C1">
              <w:rPr>
                <w:noProof/>
                <w:webHidden/>
              </w:rPr>
              <w:fldChar w:fldCharType="end"/>
            </w:r>
          </w:hyperlink>
        </w:p>
        <w:p w:rsidR="004667C1" w:rsidRPr="004667C1" w:rsidRDefault="002332DF" w:rsidP="00353512">
          <w:pPr>
            <w:pStyle w:val="TM2"/>
            <w:rPr>
              <w:noProof/>
            </w:rPr>
          </w:pPr>
          <w:hyperlink w:anchor="_Toc496603314" w:history="1">
            <w:r w:rsidR="004667C1" w:rsidRPr="004667C1">
              <w:rPr>
                <w:rStyle w:val="Lienhypertexte"/>
                <w:rFonts w:ascii="Arial" w:hAnsi="Arial" w:cs="Arial"/>
                <w:noProof/>
                <w:sz w:val="20"/>
                <w:szCs w:val="20"/>
              </w:rPr>
              <w:t>iii.</w:t>
            </w:r>
            <w:r w:rsidR="004667C1" w:rsidRPr="004667C1">
              <w:rPr>
                <w:noProof/>
              </w:rPr>
              <w:tab/>
            </w:r>
            <w:r w:rsidR="004667C1" w:rsidRPr="004667C1">
              <w:rPr>
                <w:rStyle w:val="Lienhypertexte"/>
                <w:rFonts w:ascii="Arial" w:hAnsi="Arial" w:cs="Arial"/>
                <w:noProof/>
                <w:sz w:val="20"/>
                <w:szCs w:val="20"/>
              </w:rPr>
              <w:t>Les séjours pour une IOA dites « complexes »</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_Toc496603314 \h </w:instrText>
            </w:r>
            <w:r w:rsidR="004667C1" w:rsidRPr="004667C1">
              <w:rPr>
                <w:noProof/>
                <w:webHidden/>
              </w:rPr>
            </w:r>
            <w:r w:rsidR="004667C1" w:rsidRPr="004667C1">
              <w:rPr>
                <w:noProof/>
                <w:webHidden/>
              </w:rPr>
              <w:fldChar w:fldCharType="separate"/>
            </w:r>
            <w:r w:rsidR="004667C1" w:rsidRPr="004667C1">
              <w:rPr>
                <w:noProof/>
                <w:webHidden/>
              </w:rPr>
              <w:t>7</w:t>
            </w:r>
            <w:r w:rsidR="004667C1" w:rsidRPr="004667C1">
              <w:rPr>
                <w:noProof/>
                <w:webHidden/>
              </w:rPr>
              <w:fldChar w:fldCharType="end"/>
            </w:r>
          </w:hyperlink>
        </w:p>
        <w:p w:rsidR="004667C1" w:rsidRPr="004667C1" w:rsidRDefault="00353512" w:rsidP="00353512">
          <w:pPr>
            <w:pStyle w:val="TM3"/>
            <w:ind w:left="567" w:hanging="425"/>
            <w:rPr>
              <w:noProof/>
            </w:rPr>
          </w:pPr>
          <w:r w:rsidRPr="00353512">
            <w:rPr>
              <w:rStyle w:val="Lienhypertexte"/>
              <w:rFonts w:ascii="Arial" w:hAnsi="Arial" w:cs="Arial"/>
              <w:noProof/>
              <w:sz w:val="20"/>
              <w:szCs w:val="20"/>
              <w:u w:val="none"/>
            </w:rPr>
            <w:t xml:space="preserve"> </w:t>
          </w:r>
          <w:hyperlink w:anchor="_Toc496603315" w:history="1">
            <w:r w:rsidR="004667C1" w:rsidRPr="004667C1">
              <w:rPr>
                <w:rStyle w:val="Lienhypertexte"/>
                <w:rFonts w:ascii="Arial" w:hAnsi="Arial" w:cs="Arial"/>
                <w:noProof/>
                <w:sz w:val="20"/>
                <w:szCs w:val="20"/>
              </w:rPr>
              <w:t>iv.</w:t>
            </w:r>
            <w:r w:rsidR="004667C1" w:rsidRPr="004667C1">
              <w:rPr>
                <w:noProof/>
              </w:rPr>
              <w:tab/>
            </w:r>
            <w:r w:rsidR="004667C1" w:rsidRPr="004667C1">
              <w:rPr>
                <w:rStyle w:val="Lienhypertexte"/>
                <w:rFonts w:ascii="Arial" w:hAnsi="Arial" w:cs="Arial"/>
                <w:noProof/>
                <w:sz w:val="20"/>
                <w:szCs w:val="20"/>
              </w:rPr>
              <w:t xml:space="preserve">Les séjours motivés par une autre prise en charge d’un patient atteint d’une IOA reconnue </w:t>
            </w:r>
            <w:r>
              <w:rPr>
                <w:rStyle w:val="Lienhypertexte"/>
                <w:rFonts w:ascii="Arial" w:hAnsi="Arial" w:cs="Arial"/>
                <w:noProof/>
                <w:sz w:val="20"/>
                <w:szCs w:val="20"/>
              </w:rPr>
              <w:t xml:space="preserve">    </w:t>
            </w:r>
            <w:r w:rsidR="004667C1" w:rsidRPr="004667C1">
              <w:rPr>
                <w:rStyle w:val="Lienhypertexte"/>
                <w:rFonts w:ascii="Arial" w:hAnsi="Arial" w:cs="Arial"/>
                <w:noProof/>
                <w:sz w:val="20"/>
                <w:szCs w:val="20"/>
              </w:rPr>
              <w:t>complexe</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_Toc496603315 \h </w:instrText>
            </w:r>
            <w:r w:rsidR="004667C1" w:rsidRPr="004667C1">
              <w:rPr>
                <w:noProof/>
                <w:webHidden/>
              </w:rPr>
            </w:r>
            <w:r w:rsidR="004667C1" w:rsidRPr="004667C1">
              <w:rPr>
                <w:noProof/>
                <w:webHidden/>
              </w:rPr>
              <w:fldChar w:fldCharType="separate"/>
            </w:r>
            <w:r w:rsidR="004667C1" w:rsidRPr="004667C1">
              <w:rPr>
                <w:noProof/>
                <w:webHidden/>
              </w:rPr>
              <w:t>9</w:t>
            </w:r>
            <w:r w:rsidR="004667C1" w:rsidRPr="004667C1">
              <w:rPr>
                <w:noProof/>
                <w:webHidden/>
              </w:rPr>
              <w:fldChar w:fldCharType="end"/>
            </w:r>
          </w:hyperlink>
        </w:p>
        <w:p w:rsidR="004667C1" w:rsidRDefault="002332DF" w:rsidP="00353512">
          <w:pPr>
            <w:pStyle w:val="TM2"/>
            <w:rPr>
              <w:rStyle w:val="Lienhypertexte"/>
              <w:rFonts w:ascii="Arial" w:hAnsi="Arial" w:cs="Arial"/>
              <w:noProof/>
              <w:sz w:val="20"/>
              <w:szCs w:val="20"/>
            </w:rPr>
          </w:pPr>
          <w:hyperlink w:anchor="_Toc496603316" w:history="1">
            <w:r w:rsidR="004667C1" w:rsidRPr="004667C1">
              <w:rPr>
                <w:rStyle w:val="Lienhypertexte"/>
                <w:rFonts w:ascii="Arial" w:hAnsi="Arial" w:cs="Arial"/>
                <w:noProof/>
                <w:sz w:val="20"/>
                <w:szCs w:val="20"/>
              </w:rPr>
              <w:t>v.</w:t>
            </w:r>
            <w:r w:rsidR="004667C1" w:rsidRPr="004667C1">
              <w:rPr>
                <w:noProof/>
              </w:rPr>
              <w:tab/>
            </w:r>
            <w:r w:rsidR="004667C1" w:rsidRPr="004667C1">
              <w:rPr>
                <w:rStyle w:val="Lienhypertexte"/>
                <w:rFonts w:ascii="Arial" w:hAnsi="Arial" w:cs="Arial"/>
                <w:noProof/>
                <w:sz w:val="20"/>
                <w:szCs w:val="20"/>
              </w:rPr>
              <w:t>Résumé pour les séjours traitant une IOA</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_Toc496603316 \h </w:instrText>
            </w:r>
            <w:r w:rsidR="004667C1" w:rsidRPr="004667C1">
              <w:rPr>
                <w:noProof/>
                <w:webHidden/>
              </w:rPr>
            </w:r>
            <w:r w:rsidR="004667C1" w:rsidRPr="004667C1">
              <w:rPr>
                <w:noProof/>
                <w:webHidden/>
              </w:rPr>
              <w:fldChar w:fldCharType="separate"/>
            </w:r>
            <w:r w:rsidR="004667C1" w:rsidRPr="004667C1">
              <w:rPr>
                <w:noProof/>
                <w:webHidden/>
              </w:rPr>
              <w:t>9</w:t>
            </w:r>
            <w:r w:rsidR="004667C1" w:rsidRPr="004667C1">
              <w:rPr>
                <w:noProof/>
                <w:webHidden/>
              </w:rPr>
              <w:fldChar w:fldCharType="end"/>
            </w:r>
          </w:hyperlink>
        </w:p>
        <w:p w:rsidR="004667C1" w:rsidRPr="004667C1" w:rsidRDefault="004667C1" w:rsidP="004667C1">
          <w:pPr>
            <w:rPr>
              <w:lang w:eastAsia="fr-FR"/>
            </w:rPr>
          </w:pPr>
        </w:p>
        <w:p w:rsidR="004667C1" w:rsidRPr="004667C1" w:rsidRDefault="002332DF">
          <w:pPr>
            <w:pStyle w:val="TM1"/>
            <w:rPr>
              <w:rFonts w:ascii="Arial" w:eastAsiaTheme="minorEastAsia" w:hAnsi="Arial" w:cs="Arial"/>
              <w:noProof/>
              <w:sz w:val="20"/>
              <w:szCs w:val="20"/>
              <w:lang w:eastAsia="fr-FR"/>
            </w:rPr>
          </w:pPr>
          <w:hyperlink w:anchor="_Toc496603317" w:history="1">
            <w:r w:rsidR="004667C1" w:rsidRPr="004667C1">
              <w:rPr>
                <w:rStyle w:val="Lienhypertexte"/>
                <w:rFonts w:ascii="Arial" w:hAnsi="Arial" w:cs="Arial"/>
                <w:noProof/>
                <w:sz w:val="20"/>
                <w:szCs w:val="20"/>
              </w:rPr>
              <w:t>Annexe 1 : Liste des centres de référence et correspondants</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_Toc496603317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11</w:t>
            </w:r>
            <w:r w:rsidR="004667C1" w:rsidRPr="004667C1">
              <w:rPr>
                <w:rFonts w:ascii="Arial" w:hAnsi="Arial" w:cs="Arial"/>
                <w:noProof/>
                <w:webHidden/>
                <w:sz w:val="20"/>
                <w:szCs w:val="20"/>
              </w:rPr>
              <w:fldChar w:fldCharType="end"/>
            </w:r>
          </w:hyperlink>
        </w:p>
        <w:p w:rsidR="004667C1" w:rsidRPr="004667C1" w:rsidRDefault="002332DF">
          <w:pPr>
            <w:pStyle w:val="TM1"/>
            <w:rPr>
              <w:rFonts w:ascii="Arial" w:eastAsiaTheme="minorEastAsia" w:hAnsi="Arial" w:cs="Arial"/>
              <w:noProof/>
              <w:sz w:val="20"/>
              <w:szCs w:val="20"/>
              <w:lang w:eastAsia="fr-FR"/>
            </w:rPr>
          </w:pPr>
          <w:hyperlink w:anchor="_Toc496603318" w:history="1">
            <w:r w:rsidR="004667C1" w:rsidRPr="004667C1">
              <w:rPr>
                <w:rStyle w:val="Lienhypertexte"/>
                <w:rFonts w:ascii="Arial" w:hAnsi="Arial" w:cs="Arial"/>
                <w:noProof/>
                <w:sz w:val="20"/>
                <w:szCs w:val="20"/>
              </w:rPr>
              <w:t>Annexe 2</w:t>
            </w:r>
          </w:hyperlink>
          <w:r w:rsidR="00DC7F2C" w:rsidRPr="00DC7F2C">
            <w:rPr>
              <w:rStyle w:val="Lienhypertexte"/>
              <w:rFonts w:ascii="Arial" w:hAnsi="Arial" w:cs="Arial"/>
              <w:noProof/>
              <w:sz w:val="20"/>
              <w:szCs w:val="20"/>
              <w:u w:val="none"/>
            </w:rPr>
            <w:t xml:space="preserve"> : </w:t>
          </w:r>
          <w:hyperlink w:anchor="_Toc496603319" w:history="1">
            <w:r w:rsidR="004667C1" w:rsidRPr="004667C1">
              <w:rPr>
                <w:rStyle w:val="Lienhypertexte"/>
                <w:rFonts w:ascii="Arial" w:hAnsi="Arial" w:cs="Arial"/>
                <w:noProof/>
                <w:sz w:val="20"/>
                <w:szCs w:val="20"/>
              </w:rPr>
              <w:t>Infections ostéoarticulaires conduisant dans les racines 08C61 et 08C62</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_Toc496603319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12</w:t>
            </w:r>
            <w:r w:rsidR="004667C1" w:rsidRPr="004667C1">
              <w:rPr>
                <w:rFonts w:ascii="Arial" w:hAnsi="Arial" w:cs="Arial"/>
                <w:noProof/>
                <w:webHidden/>
                <w:sz w:val="20"/>
                <w:szCs w:val="20"/>
              </w:rPr>
              <w:fldChar w:fldCharType="end"/>
            </w:r>
          </w:hyperlink>
        </w:p>
        <w:p w:rsidR="004667C1" w:rsidRPr="004667C1" w:rsidRDefault="002332DF">
          <w:pPr>
            <w:pStyle w:val="TM1"/>
            <w:rPr>
              <w:rFonts w:ascii="Arial" w:eastAsiaTheme="minorEastAsia" w:hAnsi="Arial" w:cs="Arial"/>
              <w:noProof/>
              <w:sz w:val="20"/>
              <w:szCs w:val="20"/>
              <w:lang w:eastAsia="fr-FR"/>
            </w:rPr>
          </w:pPr>
          <w:hyperlink w:anchor="_Toc496603320" w:history="1">
            <w:r w:rsidR="004667C1" w:rsidRPr="004667C1">
              <w:rPr>
                <w:rStyle w:val="Lienhypertexte"/>
                <w:rFonts w:ascii="Arial" w:hAnsi="Arial" w:cs="Arial"/>
                <w:noProof/>
                <w:sz w:val="20"/>
                <w:szCs w:val="20"/>
              </w:rPr>
              <w:t>Annexe 3</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_Toc496603320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21</w:t>
            </w:r>
            <w:r w:rsidR="004667C1" w:rsidRPr="004667C1">
              <w:rPr>
                <w:rFonts w:ascii="Arial" w:hAnsi="Arial" w:cs="Arial"/>
                <w:noProof/>
                <w:webHidden/>
                <w:sz w:val="20"/>
                <w:szCs w:val="20"/>
              </w:rPr>
              <w:fldChar w:fldCharType="end"/>
            </w:r>
          </w:hyperlink>
        </w:p>
        <w:p w:rsidR="004667C1" w:rsidRPr="004667C1" w:rsidRDefault="002332DF">
          <w:pPr>
            <w:pStyle w:val="TM1"/>
            <w:rPr>
              <w:rFonts w:ascii="Arial" w:eastAsiaTheme="minorEastAsia" w:hAnsi="Arial" w:cs="Arial"/>
              <w:noProof/>
              <w:sz w:val="20"/>
              <w:szCs w:val="20"/>
              <w:lang w:eastAsia="fr-FR"/>
            </w:rPr>
          </w:pPr>
          <w:hyperlink w:anchor="_Toc496603321" w:history="1">
            <w:r w:rsidR="004667C1" w:rsidRPr="004667C1">
              <w:rPr>
                <w:rStyle w:val="Lienhypertexte"/>
                <w:rFonts w:ascii="Arial" w:hAnsi="Arial" w:cs="Arial"/>
                <w:noProof/>
                <w:sz w:val="20"/>
                <w:szCs w:val="20"/>
              </w:rPr>
              <w:t>A- Infections ostéoarticulaires conduisant dans la racine 08M31</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_Toc496603321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21</w:t>
            </w:r>
            <w:r w:rsidR="004667C1" w:rsidRPr="004667C1">
              <w:rPr>
                <w:rFonts w:ascii="Arial" w:hAnsi="Arial" w:cs="Arial"/>
                <w:noProof/>
                <w:webHidden/>
                <w:sz w:val="20"/>
                <w:szCs w:val="20"/>
              </w:rPr>
              <w:fldChar w:fldCharType="end"/>
            </w:r>
          </w:hyperlink>
        </w:p>
        <w:p w:rsidR="004667C1" w:rsidRPr="004667C1" w:rsidRDefault="002332DF">
          <w:pPr>
            <w:pStyle w:val="TM1"/>
            <w:rPr>
              <w:rFonts w:ascii="Arial" w:eastAsiaTheme="minorEastAsia" w:hAnsi="Arial" w:cs="Arial"/>
              <w:noProof/>
              <w:sz w:val="20"/>
              <w:szCs w:val="20"/>
              <w:lang w:eastAsia="fr-FR"/>
            </w:rPr>
          </w:pPr>
          <w:hyperlink w:anchor="_Toc496603322" w:history="1">
            <w:r w:rsidR="004667C1" w:rsidRPr="004667C1">
              <w:rPr>
                <w:rStyle w:val="Lienhypertexte"/>
                <w:rFonts w:ascii="Arial" w:hAnsi="Arial" w:cs="Arial"/>
                <w:noProof/>
                <w:sz w:val="20"/>
                <w:szCs w:val="20"/>
              </w:rPr>
              <w:t>B- Infections ostéoarticulaires conduisant dans la racine 08M32</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_Toc496603322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28</w:t>
            </w:r>
            <w:r w:rsidR="004667C1" w:rsidRPr="004667C1">
              <w:rPr>
                <w:rFonts w:ascii="Arial" w:hAnsi="Arial" w:cs="Arial"/>
                <w:noProof/>
                <w:webHidden/>
                <w:sz w:val="20"/>
                <w:szCs w:val="20"/>
              </w:rPr>
              <w:fldChar w:fldCharType="end"/>
            </w:r>
          </w:hyperlink>
        </w:p>
        <w:p w:rsidR="00F22EB4" w:rsidRPr="004667C1" w:rsidRDefault="00F22EB4" w:rsidP="006F6579">
          <w:pPr>
            <w:spacing w:line="240" w:lineRule="auto"/>
            <w:contextualSpacing/>
            <w:rPr>
              <w:rFonts w:ascii="Arial" w:hAnsi="Arial" w:cs="Arial"/>
              <w:sz w:val="20"/>
              <w:szCs w:val="20"/>
            </w:rPr>
          </w:pPr>
          <w:r w:rsidRPr="004667C1">
            <w:rPr>
              <w:rFonts w:ascii="Arial" w:hAnsi="Arial" w:cs="Arial"/>
              <w:bCs/>
              <w:sz w:val="20"/>
              <w:szCs w:val="20"/>
            </w:rPr>
            <w:fldChar w:fldCharType="end"/>
          </w:r>
        </w:p>
      </w:sdtContent>
    </w:sdt>
    <w:p w:rsidR="00F22EB4" w:rsidRDefault="00F22EB4">
      <w:pPr>
        <w:rPr>
          <w:rFonts w:ascii="Arial" w:hAnsi="Arial" w:cs="Arial"/>
          <w:b/>
          <w:color w:val="514B64"/>
          <w:sz w:val="24"/>
          <w:szCs w:val="24"/>
        </w:rPr>
      </w:pPr>
      <w:r>
        <w:rPr>
          <w:rFonts w:ascii="Arial" w:hAnsi="Arial" w:cs="Arial"/>
          <w:b/>
          <w:color w:val="514B64"/>
          <w:sz w:val="24"/>
          <w:szCs w:val="24"/>
        </w:rPr>
        <w:br w:type="page"/>
      </w:r>
    </w:p>
    <w:p w:rsidR="0071236E" w:rsidRPr="008759C9" w:rsidRDefault="00505B34" w:rsidP="00D64FD0">
      <w:pPr>
        <w:pStyle w:val="Paragraphedeliste"/>
        <w:numPr>
          <w:ilvl w:val="0"/>
          <w:numId w:val="5"/>
        </w:numPr>
        <w:jc w:val="both"/>
        <w:outlineLvl w:val="0"/>
        <w:rPr>
          <w:rFonts w:ascii="Arial" w:hAnsi="Arial" w:cs="Arial"/>
          <w:b/>
          <w:color w:val="514B64"/>
          <w:sz w:val="24"/>
          <w:szCs w:val="24"/>
        </w:rPr>
      </w:pPr>
      <w:bookmarkStart w:id="15" w:name="_Toc496603304"/>
      <w:r>
        <w:rPr>
          <w:rFonts w:ascii="Arial" w:hAnsi="Arial" w:cs="Arial"/>
          <w:b/>
          <w:color w:val="514B64"/>
          <w:sz w:val="24"/>
          <w:szCs w:val="24"/>
        </w:rPr>
        <w:lastRenderedPageBreak/>
        <w:t>Les IOA : définitions</w:t>
      </w:r>
      <w:bookmarkEnd w:id="15"/>
    </w:p>
    <w:p w:rsidR="008621FA" w:rsidRPr="00D64FD0" w:rsidRDefault="008621FA" w:rsidP="00D64FD0">
      <w:pPr>
        <w:spacing w:after="0" w:line="240" w:lineRule="auto"/>
        <w:jc w:val="both"/>
        <w:rPr>
          <w:rFonts w:ascii="Arial" w:hAnsi="Arial" w:cs="Arial"/>
          <w:sz w:val="20"/>
          <w:szCs w:val="20"/>
        </w:rPr>
      </w:pPr>
      <w:r w:rsidRPr="00D64FD0">
        <w:rPr>
          <w:rFonts w:ascii="Arial" w:hAnsi="Arial" w:cs="Arial"/>
          <w:sz w:val="20"/>
          <w:szCs w:val="20"/>
        </w:rPr>
        <w:t>L’infection ostéoarticulaire (IOA), est une complication redoutée</w:t>
      </w:r>
      <w:r w:rsidR="0074055A">
        <w:rPr>
          <w:rFonts w:ascii="Arial" w:hAnsi="Arial" w:cs="Arial"/>
          <w:sz w:val="20"/>
          <w:szCs w:val="20"/>
        </w:rPr>
        <w:t>, notamment</w:t>
      </w:r>
      <w:r w:rsidRPr="00D64FD0">
        <w:rPr>
          <w:rFonts w:ascii="Arial" w:hAnsi="Arial" w:cs="Arial"/>
          <w:sz w:val="20"/>
          <w:szCs w:val="20"/>
        </w:rPr>
        <w:t xml:space="preserve"> dans le cadre d’interventions chirurgicales. Elle nécessite des traitements longs et coûteux</w:t>
      </w:r>
      <w:r w:rsidR="00DB215D">
        <w:rPr>
          <w:rFonts w:ascii="Arial" w:hAnsi="Arial" w:cs="Arial"/>
          <w:sz w:val="20"/>
          <w:szCs w:val="20"/>
        </w:rPr>
        <w:t xml:space="preserve">. Elle peut être </w:t>
      </w:r>
      <w:r w:rsidRPr="00D64FD0">
        <w:rPr>
          <w:rFonts w:ascii="Arial" w:hAnsi="Arial" w:cs="Arial"/>
          <w:sz w:val="20"/>
          <w:szCs w:val="20"/>
        </w:rPr>
        <w:t xml:space="preserve">responsable de lourdes séquelles. Les infections ostéoarticulaires complexes associées aux soins recouvrent les infections sur prothèse ou sur matériel d’ostéosynthèse et les infections post-traumatiques </w:t>
      </w:r>
      <w:r w:rsidR="00505B34">
        <w:rPr>
          <w:rFonts w:ascii="Arial" w:hAnsi="Arial" w:cs="Arial"/>
          <w:sz w:val="20"/>
          <w:szCs w:val="20"/>
        </w:rPr>
        <w:t xml:space="preserve">notamment les </w:t>
      </w:r>
      <w:r w:rsidRPr="00D64FD0">
        <w:rPr>
          <w:rFonts w:ascii="Arial" w:hAnsi="Arial" w:cs="Arial"/>
          <w:sz w:val="20"/>
          <w:szCs w:val="20"/>
        </w:rPr>
        <w:t>fractures ouvertes</w:t>
      </w:r>
      <w:r w:rsidR="00E26CB6">
        <w:rPr>
          <w:rFonts w:ascii="Arial" w:hAnsi="Arial" w:cs="Arial"/>
          <w:sz w:val="20"/>
          <w:szCs w:val="20"/>
        </w:rPr>
        <w:t>.</w:t>
      </w:r>
      <w:r w:rsidR="00505B34">
        <w:rPr>
          <w:rFonts w:ascii="Arial" w:hAnsi="Arial" w:cs="Arial"/>
          <w:sz w:val="20"/>
          <w:szCs w:val="20"/>
        </w:rPr>
        <w:t xml:space="preserve"> </w:t>
      </w:r>
      <w:r w:rsidR="00E26CB6">
        <w:rPr>
          <w:rFonts w:ascii="Arial" w:hAnsi="Arial" w:cs="Arial"/>
          <w:sz w:val="20"/>
          <w:szCs w:val="20"/>
        </w:rPr>
        <w:t>M</w:t>
      </w:r>
      <w:r w:rsidR="00DB215D">
        <w:rPr>
          <w:rFonts w:ascii="Arial" w:hAnsi="Arial" w:cs="Arial"/>
          <w:sz w:val="20"/>
          <w:szCs w:val="20"/>
        </w:rPr>
        <w:t xml:space="preserve">ais </w:t>
      </w:r>
      <w:r w:rsidR="00E26CB6">
        <w:rPr>
          <w:rFonts w:ascii="Arial" w:hAnsi="Arial" w:cs="Arial"/>
          <w:sz w:val="20"/>
          <w:szCs w:val="20"/>
        </w:rPr>
        <w:t>.l</w:t>
      </w:r>
      <w:r w:rsidR="00E26CB6" w:rsidRPr="00D64FD0">
        <w:rPr>
          <w:rFonts w:ascii="Arial" w:hAnsi="Arial" w:cs="Arial"/>
          <w:sz w:val="20"/>
          <w:szCs w:val="20"/>
        </w:rPr>
        <w:t>es infections ostéoarticulaires complexes</w:t>
      </w:r>
      <w:r w:rsidR="00E26CB6">
        <w:rPr>
          <w:rFonts w:ascii="Arial" w:hAnsi="Arial" w:cs="Arial"/>
          <w:sz w:val="20"/>
          <w:szCs w:val="20"/>
        </w:rPr>
        <w:t xml:space="preserve"> </w:t>
      </w:r>
      <w:r w:rsidR="00DB215D">
        <w:rPr>
          <w:rFonts w:ascii="Arial" w:hAnsi="Arial" w:cs="Arial"/>
          <w:sz w:val="20"/>
          <w:szCs w:val="20"/>
        </w:rPr>
        <w:t>peu</w:t>
      </w:r>
      <w:r w:rsidR="00E26CB6">
        <w:rPr>
          <w:rFonts w:ascii="Arial" w:hAnsi="Arial" w:cs="Arial"/>
          <w:sz w:val="20"/>
          <w:szCs w:val="20"/>
        </w:rPr>
        <w:t>ven</w:t>
      </w:r>
      <w:r w:rsidR="00DB215D">
        <w:rPr>
          <w:rFonts w:ascii="Arial" w:hAnsi="Arial" w:cs="Arial"/>
          <w:sz w:val="20"/>
          <w:szCs w:val="20"/>
        </w:rPr>
        <w:t>t aussi concerner les complications vasculaires du pied liées au diabète</w:t>
      </w:r>
      <w:r w:rsidR="00E26CB6">
        <w:rPr>
          <w:rFonts w:ascii="Arial" w:hAnsi="Arial" w:cs="Arial"/>
          <w:sz w:val="20"/>
          <w:szCs w:val="20"/>
        </w:rPr>
        <w:t xml:space="preserve"> ou les arthrite</w:t>
      </w:r>
      <w:r w:rsidR="008E1FEE">
        <w:rPr>
          <w:rFonts w:ascii="Arial" w:hAnsi="Arial" w:cs="Arial"/>
          <w:sz w:val="20"/>
          <w:szCs w:val="20"/>
        </w:rPr>
        <w:t>s</w:t>
      </w:r>
      <w:r w:rsidR="00E26CB6">
        <w:rPr>
          <w:rFonts w:ascii="Arial" w:hAnsi="Arial" w:cs="Arial"/>
          <w:sz w:val="20"/>
          <w:szCs w:val="20"/>
        </w:rPr>
        <w:t xml:space="preserve"> natives d’origine hématogène</w:t>
      </w:r>
      <w:r w:rsidRPr="00D64FD0">
        <w:rPr>
          <w:rFonts w:ascii="Arial" w:hAnsi="Arial" w:cs="Arial"/>
          <w:sz w:val="20"/>
          <w:szCs w:val="20"/>
        </w:rPr>
        <w:t xml:space="preserve">. Ces infections peuvent mettre en jeu le pronostic vital mais plus souvent le pronostic fonctionnel. Leur prise en charge est complexe et fait appel à plusieurs disciplines. En France, </w:t>
      </w:r>
      <w:r w:rsidR="008944F6" w:rsidRPr="008944F6">
        <w:rPr>
          <w:rFonts w:ascii="Arial" w:hAnsi="Arial" w:cs="Arial"/>
          <w:sz w:val="20"/>
          <w:szCs w:val="20"/>
        </w:rPr>
        <w:t xml:space="preserve">Les IOA complexes, définies par leur prise en charge dans une </w:t>
      </w:r>
      <w:r w:rsidR="008944F6">
        <w:rPr>
          <w:rFonts w:ascii="Arial" w:hAnsi="Arial" w:cs="Arial"/>
          <w:sz w:val="20"/>
          <w:szCs w:val="20"/>
        </w:rPr>
        <w:t>unité médicale</w:t>
      </w:r>
      <w:r w:rsidR="008944F6" w:rsidRPr="008944F6">
        <w:rPr>
          <w:rFonts w:ascii="Arial" w:hAnsi="Arial" w:cs="Arial"/>
          <w:sz w:val="20"/>
          <w:szCs w:val="20"/>
        </w:rPr>
        <w:t xml:space="preserve"> de type 30 avec un code de diagnostic associé Z76.800, sont au nombre de 2 297 en 2014, 2 268 en 2015 et 2 729 en 2016.</w:t>
      </w:r>
      <w:r w:rsidRPr="00D64FD0">
        <w:rPr>
          <w:rFonts w:ascii="Arial" w:hAnsi="Arial" w:cs="Arial"/>
          <w:sz w:val="20"/>
          <w:szCs w:val="20"/>
        </w:rPr>
        <w:t xml:space="preserve"> </w:t>
      </w:r>
    </w:p>
    <w:p w:rsidR="00854153" w:rsidRDefault="00854153" w:rsidP="00854153">
      <w:pPr>
        <w:pStyle w:val="Default"/>
        <w:rPr>
          <w:iCs/>
          <w:sz w:val="20"/>
          <w:szCs w:val="20"/>
        </w:rPr>
      </w:pPr>
    </w:p>
    <w:p w:rsidR="00854153" w:rsidRPr="00F0593D" w:rsidRDefault="007E26B1" w:rsidP="00854153">
      <w:pPr>
        <w:pStyle w:val="Default"/>
        <w:rPr>
          <w:sz w:val="20"/>
          <w:szCs w:val="20"/>
        </w:rPr>
      </w:pPr>
      <w:r>
        <w:rPr>
          <w:iCs/>
          <w:sz w:val="20"/>
          <w:szCs w:val="20"/>
        </w:rPr>
        <w:t>Il est important de bien les définir pour 3 raisons</w:t>
      </w:r>
      <w:r w:rsidR="00854153" w:rsidRPr="00F0593D">
        <w:rPr>
          <w:iCs/>
          <w:sz w:val="20"/>
          <w:szCs w:val="20"/>
        </w:rPr>
        <w:t xml:space="preserve"> : </w:t>
      </w:r>
    </w:p>
    <w:p w:rsidR="00854153" w:rsidRPr="00F0593D" w:rsidRDefault="00854153" w:rsidP="00AE4BDD">
      <w:pPr>
        <w:pStyle w:val="Default"/>
        <w:numPr>
          <w:ilvl w:val="0"/>
          <w:numId w:val="9"/>
        </w:numPr>
        <w:spacing w:after="29"/>
        <w:rPr>
          <w:sz w:val="20"/>
          <w:szCs w:val="20"/>
        </w:rPr>
      </w:pPr>
      <w:r w:rsidRPr="00F0593D">
        <w:rPr>
          <w:iCs/>
          <w:sz w:val="20"/>
          <w:szCs w:val="20"/>
        </w:rPr>
        <w:t xml:space="preserve">l’orientation des infections ostéo-articulaires complexes vers des structures adaptées au niveau de gravité de l’infection, </w:t>
      </w:r>
    </w:p>
    <w:p w:rsidR="00854153" w:rsidRPr="00F0593D" w:rsidRDefault="00854153" w:rsidP="00AE4BDD">
      <w:pPr>
        <w:pStyle w:val="Default"/>
        <w:numPr>
          <w:ilvl w:val="0"/>
          <w:numId w:val="9"/>
        </w:numPr>
        <w:spacing w:after="29"/>
        <w:rPr>
          <w:sz w:val="20"/>
          <w:szCs w:val="20"/>
        </w:rPr>
      </w:pPr>
      <w:r w:rsidRPr="00F0593D">
        <w:rPr>
          <w:iCs/>
          <w:sz w:val="20"/>
          <w:szCs w:val="20"/>
        </w:rPr>
        <w:t>l’accès</w:t>
      </w:r>
      <w:r w:rsidR="0074055A">
        <w:rPr>
          <w:iCs/>
          <w:sz w:val="20"/>
          <w:szCs w:val="20"/>
        </w:rPr>
        <w:t>,</w:t>
      </w:r>
      <w:r w:rsidRPr="00F0593D">
        <w:rPr>
          <w:iCs/>
          <w:sz w:val="20"/>
          <w:szCs w:val="20"/>
        </w:rPr>
        <w:t xml:space="preserve"> </w:t>
      </w:r>
      <w:r w:rsidR="0074055A" w:rsidRPr="00F0593D">
        <w:rPr>
          <w:iCs/>
          <w:sz w:val="20"/>
          <w:szCs w:val="20"/>
        </w:rPr>
        <w:t>pour des structures identifiées</w:t>
      </w:r>
      <w:r w:rsidR="0074055A">
        <w:rPr>
          <w:iCs/>
          <w:sz w:val="20"/>
          <w:szCs w:val="20"/>
        </w:rPr>
        <w:t>,</w:t>
      </w:r>
      <w:r w:rsidR="0074055A" w:rsidRPr="00F0593D">
        <w:rPr>
          <w:iCs/>
          <w:sz w:val="20"/>
          <w:szCs w:val="20"/>
        </w:rPr>
        <w:t xml:space="preserve"> </w:t>
      </w:r>
      <w:r w:rsidRPr="00F0593D">
        <w:rPr>
          <w:iCs/>
          <w:sz w:val="20"/>
          <w:szCs w:val="20"/>
        </w:rPr>
        <w:t>au tarif majoré</w:t>
      </w:r>
      <w:r w:rsidR="00BC210B">
        <w:rPr>
          <w:iCs/>
          <w:sz w:val="20"/>
          <w:szCs w:val="20"/>
        </w:rPr>
        <w:t xml:space="preserve"> de certaines prises en charge</w:t>
      </w:r>
      <w:r w:rsidRPr="00F0593D">
        <w:rPr>
          <w:iCs/>
          <w:sz w:val="20"/>
          <w:szCs w:val="20"/>
        </w:rPr>
        <w:t xml:space="preserve">, </w:t>
      </w:r>
    </w:p>
    <w:p w:rsidR="00854153" w:rsidRPr="00F0593D" w:rsidRDefault="00854153" w:rsidP="00AE4BDD">
      <w:pPr>
        <w:pStyle w:val="Default"/>
        <w:numPr>
          <w:ilvl w:val="0"/>
          <w:numId w:val="9"/>
        </w:numPr>
        <w:rPr>
          <w:sz w:val="20"/>
          <w:szCs w:val="20"/>
        </w:rPr>
      </w:pPr>
      <w:r w:rsidRPr="00F0593D">
        <w:rPr>
          <w:iCs/>
          <w:sz w:val="20"/>
          <w:szCs w:val="20"/>
        </w:rPr>
        <w:t xml:space="preserve">la possibilité de contrôle par l’assurance maladie sur des critères définis. </w:t>
      </w:r>
    </w:p>
    <w:p w:rsidR="00854153" w:rsidRPr="00F0593D" w:rsidRDefault="00854153" w:rsidP="00854153">
      <w:pPr>
        <w:pStyle w:val="Default"/>
        <w:jc w:val="both"/>
        <w:rPr>
          <w:sz w:val="20"/>
          <w:szCs w:val="20"/>
        </w:rPr>
      </w:pPr>
    </w:p>
    <w:p w:rsidR="00854153" w:rsidRPr="00F0593D" w:rsidRDefault="00854153" w:rsidP="00854153">
      <w:pPr>
        <w:pStyle w:val="Default"/>
        <w:jc w:val="both"/>
        <w:rPr>
          <w:sz w:val="20"/>
          <w:szCs w:val="20"/>
        </w:rPr>
      </w:pPr>
      <w:r w:rsidRPr="00F0593D">
        <w:rPr>
          <w:sz w:val="20"/>
          <w:szCs w:val="20"/>
        </w:rPr>
        <w:t>La complexité est définie par l’association de critères concernant le type de chirurgie, le terrain, la microbiologie et la prise en charge thérapeutique antérieure. Cette liste n’est pas exhaustive. Le critère complexe de l’infection doit être proposé sur la fiche de synthèse de la réunion de concertation pluridisciplinaire</w:t>
      </w:r>
      <w:r>
        <w:rPr>
          <w:sz w:val="20"/>
          <w:szCs w:val="20"/>
        </w:rPr>
        <w:t xml:space="preserve"> (RCP)</w:t>
      </w:r>
      <w:r w:rsidRPr="00F0593D">
        <w:rPr>
          <w:sz w:val="20"/>
          <w:szCs w:val="20"/>
        </w:rPr>
        <w:t xml:space="preserve"> et au final validé par un centre de référence en infection ostéo-articulaire.</w:t>
      </w:r>
    </w:p>
    <w:p w:rsidR="00854153" w:rsidRDefault="00854153" w:rsidP="00854153">
      <w:pPr>
        <w:pStyle w:val="Default"/>
        <w:rPr>
          <w:sz w:val="20"/>
          <w:szCs w:val="20"/>
        </w:rPr>
      </w:pPr>
    </w:p>
    <w:p w:rsidR="00854153" w:rsidRDefault="00854153" w:rsidP="00854153">
      <w:pPr>
        <w:pStyle w:val="Default"/>
      </w:pPr>
      <w:r>
        <w:rPr>
          <w:sz w:val="20"/>
          <w:szCs w:val="20"/>
        </w:rPr>
        <w:t xml:space="preserve">Le niveau de complexité des IOA répond à plusieurs critères décrits dans l’annexe 1 de la circulaire </w:t>
      </w:r>
    </w:p>
    <w:p w:rsidR="00854153" w:rsidRDefault="00854153" w:rsidP="00854153">
      <w:pPr>
        <w:jc w:val="both"/>
        <w:rPr>
          <w:rFonts w:ascii="Arial" w:hAnsi="Arial" w:cs="Arial"/>
          <w:b/>
          <w:bCs/>
          <w:sz w:val="20"/>
          <w:szCs w:val="20"/>
        </w:rPr>
      </w:pPr>
      <w:r w:rsidRPr="00EB6568">
        <w:rPr>
          <w:rFonts w:ascii="Arial" w:hAnsi="Arial" w:cs="Arial"/>
          <w:sz w:val="20"/>
          <w:szCs w:val="20"/>
        </w:rPr>
        <w:t xml:space="preserve"> « </w:t>
      </w:r>
      <w:r w:rsidRPr="00EB6568">
        <w:rPr>
          <w:rFonts w:ascii="Arial" w:hAnsi="Arial" w:cs="Arial"/>
          <w:b/>
          <w:bCs/>
          <w:sz w:val="20"/>
          <w:szCs w:val="20"/>
        </w:rPr>
        <w:t>INSTRUCTION N°DGOS/PF2/2010/466 du 27 décembre 2010 »</w:t>
      </w:r>
      <w:r>
        <w:rPr>
          <w:rFonts w:ascii="Arial" w:hAnsi="Arial" w:cs="Arial"/>
          <w:b/>
          <w:bCs/>
          <w:sz w:val="20"/>
          <w:szCs w:val="20"/>
        </w:rPr>
        <w:t xml:space="preserve"> </w:t>
      </w:r>
      <w:hyperlink r:id="rId8" w:history="1">
        <w:r w:rsidRPr="00DB4A01">
          <w:rPr>
            <w:rStyle w:val="Lienhypertexte"/>
            <w:rFonts w:ascii="Arial" w:hAnsi="Arial" w:cs="Arial"/>
            <w:b/>
            <w:bCs/>
            <w:sz w:val="20"/>
            <w:szCs w:val="20"/>
          </w:rPr>
          <w:t>http://circulaire.legifrance.gouv.fr/pdf/2011/01/cir_32322.pdf</w:t>
        </w:r>
      </w:hyperlink>
    </w:p>
    <w:p w:rsidR="00854153" w:rsidRPr="00D64FD0" w:rsidRDefault="00854153" w:rsidP="00D64FD0">
      <w:pPr>
        <w:jc w:val="both"/>
        <w:rPr>
          <w:rFonts w:ascii="Arial" w:hAnsi="Arial" w:cs="Arial"/>
          <w:sz w:val="20"/>
          <w:szCs w:val="20"/>
        </w:rPr>
      </w:pPr>
    </w:p>
    <w:p w:rsidR="009243FE" w:rsidRDefault="00CB67A2" w:rsidP="00D64FD0">
      <w:pPr>
        <w:pStyle w:val="Paragraphedeliste"/>
        <w:numPr>
          <w:ilvl w:val="0"/>
          <w:numId w:val="5"/>
        </w:numPr>
        <w:jc w:val="both"/>
        <w:outlineLvl w:val="0"/>
        <w:rPr>
          <w:rFonts w:ascii="Arial" w:hAnsi="Arial" w:cs="Arial"/>
          <w:b/>
          <w:color w:val="514B64"/>
          <w:sz w:val="24"/>
          <w:szCs w:val="24"/>
        </w:rPr>
      </w:pPr>
      <w:bookmarkStart w:id="16" w:name="_Toc496603305"/>
      <w:r w:rsidRPr="0071236E">
        <w:rPr>
          <w:rFonts w:ascii="Arial" w:hAnsi="Arial" w:cs="Arial"/>
          <w:b/>
          <w:color w:val="514B64"/>
          <w:sz w:val="24"/>
          <w:szCs w:val="24"/>
        </w:rPr>
        <w:t>Présentation des différents centres de prise en charge des IOA</w:t>
      </w:r>
      <w:bookmarkEnd w:id="16"/>
    </w:p>
    <w:p w:rsidR="008759C9" w:rsidRPr="008759C9" w:rsidRDefault="008759C9" w:rsidP="008759C9">
      <w:pPr>
        <w:pStyle w:val="Paragraphedeliste"/>
        <w:jc w:val="both"/>
        <w:outlineLvl w:val="0"/>
        <w:rPr>
          <w:rFonts w:ascii="Arial" w:hAnsi="Arial" w:cs="Arial"/>
          <w:b/>
          <w:color w:val="514B64"/>
          <w:sz w:val="24"/>
          <w:szCs w:val="24"/>
        </w:rPr>
      </w:pPr>
    </w:p>
    <w:p w:rsidR="009524EB" w:rsidRPr="0071236E" w:rsidRDefault="00016319" w:rsidP="00AE4BDD">
      <w:pPr>
        <w:pStyle w:val="Paragraphedeliste"/>
        <w:numPr>
          <w:ilvl w:val="0"/>
          <w:numId w:val="6"/>
        </w:numPr>
        <w:jc w:val="both"/>
        <w:outlineLvl w:val="1"/>
        <w:rPr>
          <w:rFonts w:ascii="Arial" w:hAnsi="Arial" w:cs="Arial"/>
          <w:b/>
          <w:color w:val="514B64"/>
        </w:rPr>
      </w:pPr>
      <w:bookmarkStart w:id="17" w:name="_Toc496603306"/>
      <w:r w:rsidRPr="0071236E">
        <w:rPr>
          <w:rFonts w:ascii="Arial" w:hAnsi="Arial" w:cs="Arial"/>
          <w:b/>
          <w:color w:val="514B64"/>
        </w:rPr>
        <w:t>L</w:t>
      </w:r>
      <w:r w:rsidR="009524EB" w:rsidRPr="0071236E">
        <w:rPr>
          <w:rFonts w:ascii="Arial" w:hAnsi="Arial" w:cs="Arial"/>
          <w:b/>
          <w:color w:val="514B64"/>
        </w:rPr>
        <w:t>a création des centres de référence</w:t>
      </w:r>
      <w:bookmarkEnd w:id="17"/>
    </w:p>
    <w:p w:rsidR="00C25B39" w:rsidRPr="00D64FD0" w:rsidRDefault="00C25B39" w:rsidP="00D64FD0">
      <w:pPr>
        <w:spacing w:after="0" w:line="240" w:lineRule="auto"/>
        <w:jc w:val="both"/>
        <w:rPr>
          <w:rFonts w:ascii="Arial" w:hAnsi="Arial" w:cs="Arial"/>
          <w:sz w:val="20"/>
          <w:szCs w:val="20"/>
        </w:rPr>
      </w:pPr>
    </w:p>
    <w:p w:rsidR="00C25B39" w:rsidRPr="00D64FD0" w:rsidRDefault="00C25B39" w:rsidP="00D64FD0">
      <w:pPr>
        <w:spacing w:after="0" w:line="240" w:lineRule="auto"/>
        <w:jc w:val="both"/>
        <w:rPr>
          <w:rFonts w:ascii="Arial" w:hAnsi="Arial" w:cs="Arial"/>
          <w:sz w:val="20"/>
          <w:szCs w:val="20"/>
        </w:rPr>
      </w:pPr>
      <w:r w:rsidRPr="00D64FD0">
        <w:rPr>
          <w:rFonts w:ascii="Arial" w:hAnsi="Arial" w:cs="Arial"/>
          <w:sz w:val="20"/>
          <w:szCs w:val="20"/>
        </w:rPr>
        <w:t xml:space="preserve">Au cours de l’été 2008, en collaboration avec la DHOS et les ARH, une étude relative à la prise en charge des IOA a été menée par l’ATIH. Son objectif principal consistait à améliorer la  qualité de leur prise en charge par la </w:t>
      </w:r>
      <w:r w:rsidRPr="00D64FD0">
        <w:rPr>
          <w:rFonts w:ascii="Arial" w:hAnsi="Arial" w:cs="Arial"/>
          <w:b/>
          <w:sz w:val="20"/>
          <w:szCs w:val="20"/>
        </w:rPr>
        <w:t>création de centres de références IOA interrégionaux</w:t>
      </w:r>
      <w:r w:rsidRPr="00D64FD0">
        <w:rPr>
          <w:rFonts w:ascii="Arial" w:hAnsi="Arial" w:cs="Arial"/>
          <w:sz w:val="20"/>
          <w:szCs w:val="20"/>
        </w:rPr>
        <w:t xml:space="preserve">. Afin de répondre à cet objectif et éventuellement d’adapter la classification des GHM, l’agence a donc été sollicitée </w:t>
      </w:r>
      <w:r w:rsidRPr="00D64FD0">
        <w:rPr>
          <w:rFonts w:ascii="Arial" w:hAnsi="Arial" w:cs="Arial"/>
          <w:sz w:val="20"/>
          <w:szCs w:val="20"/>
        </w:rPr>
        <w:lastRenderedPageBreak/>
        <w:t xml:space="preserve">pour traiter, à partir des bases nationales MCO de l’année 2007 (public et privé), plusieurs points :  </w:t>
      </w:r>
    </w:p>
    <w:p w:rsidR="00C25B39" w:rsidRPr="007A2A42" w:rsidRDefault="00C25B39" w:rsidP="00AE4BDD">
      <w:pPr>
        <w:pStyle w:val="Paragraphedeliste"/>
        <w:numPr>
          <w:ilvl w:val="0"/>
          <w:numId w:val="11"/>
        </w:numPr>
        <w:spacing w:after="0" w:line="240" w:lineRule="auto"/>
        <w:jc w:val="both"/>
        <w:rPr>
          <w:rFonts w:ascii="Arial" w:hAnsi="Arial" w:cs="Arial"/>
          <w:sz w:val="20"/>
          <w:szCs w:val="20"/>
        </w:rPr>
      </w:pPr>
      <w:r w:rsidRPr="007A2A42">
        <w:rPr>
          <w:rFonts w:ascii="Arial" w:hAnsi="Arial" w:cs="Arial"/>
          <w:sz w:val="20"/>
          <w:szCs w:val="20"/>
        </w:rPr>
        <w:t>fournir aux ARH, à partir de codes marqueurs « IOA », des éléments clés afin de les aider à repérer, au sein de leur r</w:t>
      </w:r>
      <w:r w:rsidR="007E26B1">
        <w:rPr>
          <w:rFonts w:ascii="Arial" w:hAnsi="Arial" w:cs="Arial"/>
          <w:sz w:val="20"/>
          <w:szCs w:val="20"/>
        </w:rPr>
        <w:t xml:space="preserve">égion, les centres de référence </w:t>
      </w:r>
      <w:r w:rsidRPr="007A2A42">
        <w:rPr>
          <w:rFonts w:ascii="Arial" w:hAnsi="Arial" w:cs="Arial"/>
          <w:sz w:val="20"/>
          <w:szCs w:val="20"/>
        </w:rPr>
        <w:t xml:space="preserve">potentiels ;  </w:t>
      </w:r>
    </w:p>
    <w:p w:rsidR="00C25B39" w:rsidRPr="007A2A42" w:rsidRDefault="00C25B39" w:rsidP="00AE4BDD">
      <w:pPr>
        <w:pStyle w:val="Paragraphedeliste"/>
        <w:numPr>
          <w:ilvl w:val="0"/>
          <w:numId w:val="11"/>
        </w:numPr>
        <w:spacing w:after="0" w:line="240" w:lineRule="auto"/>
        <w:jc w:val="both"/>
        <w:rPr>
          <w:rFonts w:ascii="Arial" w:hAnsi="Arial" w:cs="Arial"/>
          <w:sz w:val="20"/>
          <w:szCs w:val="20"/>
        </w:rPr>
      </w:pPr>
      <w:r w:rsidRPr="007A2A42">
        <w:rPr>
          <w:rFonts w:ascii="Arial" w:hAnsi="Arial" w:cs="Arial"/>
          <w:sz w:val="20"/>
          <w:szCs w:val="20"/>
        </w:rPr>
        <w:t xml:space="preserve">étudier la prise en compte des séjours « IOA » dans la version 11 de la classification des GHM et adapter la </w:t>
      </w:r>
      <w:r w:rsidR="007A2A42">
        <w:rPr>
          <w:rFonts w:ascii="Arial" w:hAnsi="Arial" w:cs="Arial"/>
          <w:sz w:val="20"/>
          <w:szCs w:val="20"/>
        </w:rPr>
        <w:t>classification</w:t>
      </w:r>
      <w:r w:rsidRPr="007A2A42">
        <w:rPr>
          <w:rFonts w:ascii="Arial" w:hAnsi="Arial" w:cs="Arial"/>
          <w:sz w:val="20"/>
          <w:szCs w:val="20"/>
        </w:rPr>
        <w:t xml:space="preserve"> en conséquence. </w:t>
      </w:r>
    </w:p>
    <w:p w:rsidR="00C25B39" w:rsidRPr="00D64FD0" w:rsidRDefault="00C25B39" w:rsidP="00D64FD0">
      <w:pPr>
        <w:spacing w:after="0" w:line="240" w:lineRule="auto"/>
        <w:jc w:val="both"/>
        <w:rPr>
          <w:rFonts w:ascii="Arial" w:hAnsi="Arial" w:cs="Arial"/>
          <w:sz w:val="20"/>
          <w:szCs w:val="20"/>
        </w:rPr>
      </w:pPr>
    </w:p>
    <w:p w:rsidR="00C25B39" w:rsidRPr="007A2A42" w:rsidRDefault="00C25B39" w:rsidP="00D64FD0">
      <w:pPr>
        <w:spacing w:after="0" w:line="240" w:lineRule="auto"/>
        <w:jc w:val="both"/>
        <w:rPr>
          <w:rFonts w:ascii="Arial" w:hAnsi="Arial" w:cs="Arial"/>
          <w:b/>
          <w:bCs/>
          <w:sz w:val="20"/>
          <w:szCs w:val="20"/>
        </w:rPr>
      </w:pPr>
      <w:r w:rsidRPr="00D64FD0">
        <w:rPr>
          <w:rFonts w:ascii="Arial" w:hAnsi="Arial" w:cs="Arial"/>
          <w:sz w:val="20"/>
          <w:szCs w:val="20"/>
        </w:rPr>
        <w:t xml:space="preserve">Les éléments clés fournis aux ARH pour la détection des centres de référence potentiels ont été basés sur la définition d’un critère de sélection précis : présence au sein d’un établissement, dans la Catégorie Majeure de </w:t>
      </w:r>
      <w:r w:rsidR="007A2A42">
        <w:rPr>
          <w:rFonts w:ascii="Arial" w:hAnsi="Arial" w:cs="Arial"/>
          <w:sz w:val="20"/>
          <w:szCs w:val="20"/>
        </w:rPr>
        <w:t>D</w:t>
      </w:r>
      <w:r w:rsidRPr="00D64FD0">
        <w:rPr>
          <w:rFonts w:ascii="Arial" w:hAnsi="Arial" w:cs="Arial"/>
          <w:sz w:val="20"/>
          <w:szCs w:val="20"/>
        </w:rPr>
        <w:t>iagnostics la plus représentative (CM</w:t>
      </w:r>
      <w:r w:rsidRPr="007A2A42">
        <w:rPr>
          <w:rFonts w:ascii="Arial" w:hAnsi="Arial" w:cs="Arial"/>
          <w:sz w:val="20"/>
          <w:szCs w:val="20"/>
        </w:rPr>
        <w:t>D 08</w:t>
      </w:r>
      <w:r w:rsidR="007A2A42" w:rsidRPr="007A2A42">
        <w:rPr>
          <w:rFonts w:ascii="Arial" w:hAnsi="Arial" w:cs="Arial"/>
          <w:sz w:val="20"/>
          <w:szCs w:val="20"/>
        </w:rPr>
        <w:t xml:space="preserve"> : </w:t>
      </w:r>
      <w:r w:rsidR="007A2A42" w:rsidRPr="007A2A42">
        <w:rPr>
          <w:rStyle w:val="lev"/>
          <w:rFonts w:ascii="Arial" w:hAnsi="Arial" w:cs="Arial"/>
          <w:b w:val="0"/>
          <w:sz w:val="20"/>
          <w:szCs w:val="20"/>
        </w:rPr>
        <w:t>Affections et traumatismes de l'appareil musculosquelettique et du tissu conjonctif</w:t>
      </w:r>
      <w:r w:rsidRPr="00D64FD0">
        <w:rPr>
          <w:rFonts w:ascii="Arial" w:hAnsi="Arial" w:cs="Arial"/>
          <w:sz w:val="20"/>
          <w:szCs w:val="20"/>
        </w:rPr>
        <w:t xml:space="preserve">), </w:t>
      </w:r>
      <w:r w:rsidRPr="00D64FD0">
        <w:rPr>
          <w:rFonts w:ascii="Arial" w:hAnsi="Arial" w:cs="Arial"/>
          <w:b/>
          <w:sz w:val="20"/>
          <w:szCs w:val="20"/>
        </w:rPr>
        <w:t>d’au moins 100 séjours IOA</w:t>
      </w:r>
      <w:r w:rsidRPr="00D64FD0">
        <w:rPr>
          <w:rFonts w:ascii="Arial" w:hAnsi="Arial" w:cs="Arial"/>
          <w:sz w:val="20"/>
          <w:szCs w:val="20"/>
        </w:rPr>
        <w:t xml:space="preserve"> (en Diagnostic Principal ou en Diagnostic Associé Significatif) dans l’année. Au final</w:t>
      </w:r>
      <w:r w:rsidR="0086511B">
        <w:rPr>
          <w:rFonts w:ascii="Arial" w:hAnsi="Arial" w:cs="Arial"/>
          <w:sz w:val="20"/>
          <w:szCs w:val="20"/>
        </w:rPr>
        <w:t>, en 2008</w:t>
      </w:r>
      <w:r w:rsidRPr="00D64FD0">
        <w:rPr>
          <w:rFonts w:ascii="Arial" w:hAnsi="Arial" w:cs="Arial"/>
          <w:sz w:val="20"/>
          <w:szCs w:val="20"/>
        </w:rPr>
        <w:t xml:space="preserve">, </w:t>
      </w:r>
      <w:r w:rsidRPr="00D64FD0">
        <w:rPr>
          <w:rFonts w:ascii="Arial" w:hAnsi="Arial" w:cs="Arial"/>
          <w:b/>
          <w:sz w:val="20"/>
          <w:szCs w:val="20"/>
        </w:rPr>
        <w:t xml:space="preserve">8 établissements « centres de référence IOA à vocation interrégionale </w:t>
      </w:r>
      <w:r w:rsidRPr="00D64FD0">
        <w:rPr>
          <w:rFonts w:ascii="Arial" w:hAnsi="Arial" w:cs="Arial"/>
          <w:sz w:val="20"/>
          <w:szCs w:val="20"/>
        </w:rPr>
        <w:t xml:space="preserve">», ont été retenus par les ARH, parmi une trentaine d’établissements potentiellement éligibles. </w:t>
      </w:r>
      <w:r w:rsidR="0086511B">
        <w:rPr>
          <w:rFonts w:ascii="Arial" w:hAnsi="Arial" w:cs="Arial"/>
          <w:sz w:val="20"/>
          <w:szCs w:val="20"/>
        </w:rPr>
        <w:t xml:space="preserve">En 2010, le CHU de </w:t>
      </w:r>
      <w:r w:rsidR="00393FC9">
        <w:rPr>
          <w:rFonts w:ascii="Arial" w:hAnsi="Arial" w:cs="Arial"/>
          <w:sz w:val="20"/>
          <w:szCs w:val="20"/>
        </w:rPr>
        <w:t>Rennes est ajouté à cette liste et, au 1</w:t>
      </w:r>
      <w:r w:rsidR="00393FC9" w:rsidRPr="00393FC9">
        <w:rPr>
          <w:rFonts w:ascii="Arial" w:hAnsi="Arial" w:cs="Arial"/>
          <w:sz w:val="20"/>
          <w:szCs w:val="20"/>
          <w:vertAlign w:val="superscript"/>
        </w:rPr>
        <w:t>er</w:t>
      </w:r>
      <w:r w:rsidR="00393FC9">
        <w:rPr>
          <w:rFonts w:ascii="Arial" w:hAnsi="Arial" w:cs="Arial"/>
          <w:sz w:val="20"/>
          <w:szCs w:val="20"/>
        </w:rPr>
        <w:t xml:space="preserve"> Juillet 2012, le CHU de Nancy devient centre de référence de l’Est e</w:t>
      </w:r>
      <w:r w:rsidR="007E26B1">
        <w:rPr>
          <w:rFonts w:ascii="Arial" w:hAnsi="Arial" w:cs="Arial"/>
          <w:sz w:val="20"/>
          <w:szCs w:val="20"/>
        </w:rPr>
        <w:t>n remplacement du CHU de Reims.</w:t>
      </w:r>
    </w:p>
    <w:p w:rsidR="00C25B39" w:rsidRPr="00D64FD0" w:rsidRDefault="00C25B39" w:rsidP="00D64FD0">
      <w:pPr>
        <w:spacing w:after="0" w:line="240" w:lineRule="auto"/>
        <w:jc w:val="both"/>
        <w:rPr>
          <w:rFonts w:ascii="Arial" w:hAnsi="Arial" w:cs="Arial"/>
          <w:sz w:val="20"/>
          <w:szCs w:val="20"/>
        </w:rPr>
      </w:pPr>
    </w:p>
    <w:p w:rsidR="008621FA" w:rsidRPr="00D64FD0" w:rsidRDefault="008621FA" w:rsidP="00D64FD0">
      <w:pPr>
        <w:spacing w:after="0" w:line="240" w:lineRule="auto"/>
        <w:jc w:val="both"/>
        <w:rPr>
          <w:rFonts w:ascii="Arial" w:hAnsi="Arial" w:cs="Arial"/>
          <w:sz w:val="20"/>
          <w:szCs w:val="20"/>
        </w:rPr>
      </w:pPr>
    </w:p>
    <w:p w:rsidR="008621FA" w:rsidRPr="00D64FD0" w:rsidRDefault="008621FA" w:rsidP="00D64FD0">
      <w:pPr>
        <w:spacing w:after="0" w:line="240" w:lineRule="auto"/>
        <w:jc w:val="both"/>
        <w:rPr>
          <w:rFonts w:ascii="Arial" w:hAnsi="Arial" w:cs="Arial"/>
          <w:sz w:val="20"/>
          <w:szCs w:val="20"/>
        </w:rPr>
      </w:pPr>
      <w:r w:rsidRPr="00D64FD0">
        <w:rPr>
          <w:rFonts w:ascii="Arial" w:hAnsi="Arial" w:cs="Arial"/>
          <w:sz w:val="20"/>
          <w:szCs w:val="20"/>
        </w:rPr>
        <w:t xml:space="preserve">Missions du centre de référence : </w:t>
      </w:r>
    </w:p>
    <w:p w:rsidR="006A4551" w:rsidRPr="00D64FD0" w:rsidRDefault="008621FA" w:rsidP="00D64FD0">
      <w:pPr>
        <w:pStyle w:val="Paragraphedeliste"/>
        <w:numPr>
          <w:ilvl w:val="0"/>
          <w:numId w:val="1"/>
        </w:numPr>
        <w:spacing w:after="0" w:line="240" w:lineRule="auto"/>
        <w:jc w:val="both"/>
        <w:rPr>
          <w:rFonts w:ascii="Arial" w:hAnsi="Arial" w:cs="Arial"/>
          <w:sz w:val="20"/>
          <w:szCs w:val="20"/>
        </w:rPr>
      </w:pPr>
      <w:r w:rsidRPr="00D64FD0">
        <w:rPr>
          <w:rFonts w:ascii="Arial" w:hAnsi="Arial" w:cs="Arial"/>
          <w:sz w:val="20"/>
          <w:szCs w:val="20"/>
        </w:rPr>
        <w:t xml:space="preserve">Chaque centre de référence a une mission d’orientation. Il met en place une organisation permettant de répondre aux appels des patients, des médecins traitants ou des services de chirurgie (site internet, numéro de téléphone dédié, secrétariat, etc.). </w:t>
      </w:r>
    </w:p>
    <w:p w:rsidR="008621FA" w:rsidRPr="00D64FD0" w:rsidRDefault="008621FA" w:rsidP="00D64FD0">
      <w:pPr>
        <w:pStyle w:val="Paragraphedeliste"/>
        <w:numPr>
          <w:ilvl w:val="0"/>
          <w:numId w:val="1"/>
        </w:numPr>
        <w:spacing w:after="0" w:line="240" w:lineRule="auto"/>
        <w:jc w:val="both"/>
        <w:rPr>
          <w:rFonts w:ascii="Arial" w:hAnsi="Arial" w:cs="Arial"/>
          <w:sz w:val="20"/>
          <w:szCs w:val="20"/>
        </w:rPr>
      </w:pPr>
      <w:r w:rsidRPr="00D64FD0">
        <w:rPr>
          <w:rFonts w:ascii="Arial" w:hAnsi="Arial" w:cs="Arial"/>
          <w:sz w:val="20"/>
          <w:szCs w:val="20"/>
        </w:rPr>
        <w:t>Chaque centre de référence a une mission de recours et d’expertise.</w:t>
      </w:r>
    </w:p>
    <w:p w:rsidR="008621FA" w:rsidRPr="00D64FD0" w:rsidRDefault="008621FA" w:rsidP="00D64FD0">
      <w:pPr>
        <w:pStyle w:val="Paragraphedeliste"/>
        <w:numPr>
          <w:ilvl w:val="0"/>
          <w:numId w:val="1"/>
        </w:numPr>
        <w:spacing w:after="0" w:line="240" w:lineRule="auto"/>
        <w:jc w:val="both"/>
        <w:rPr>
          <w:rFonts w:ascii="Arial" w:hAnsi="Arial" w:cs="Arial"/>
          <w:sz w:val="20"/>
          <w:szCs w:val="20"/>
        </w:rPr>
      </w:pPr>
      <w:r w:rsidRPr="00D64FD0">
        <w:rPr>
          <w:rFonts w:ascii="Arial" w:hAnsi="Arial" w:cs="Arial"/>
          <w:sz w:val="20"/>
          <w:szCs w:val="20"/>
        </w:rPr>
        <w:t>Il doit répondre aux demandes d’avis. Il prend en charge les IOA (simple</w:t>
      </w:r>
      <w:r w:rsidR="002660FC">
        <w:rPr>
          <w:rFonts w:ascii="Arial" w:hAnsi="Arial" w:cs="Arial"/>
          <w:sz w:val="20"/>
          <w:szCs w:val="20"/>
        </w:rPr>
        <w:t>s</w:t>
      </w:r>
      <w:r w:rsidRPr="00D64FD0">
        <w:rPr>
          <w:rFonts w:ascii="Arial" w:hAnsi="Arial" w:cs="Arial"/>
          <w:sz w:val="20"/>
          <w:szCs w:val="20"/>
        </w:rPr>
        <w:t xml:space="preserve"> ou complexe</w:t>
      </w:r>
      <w:r w:rsidR="002660FC">
        <w:rPr>
          <w:rFonts w:ascii="Arial" w:hAnsi="Arial" w:cs="Arial"/>
          <w:sz w:val="20"/>
          <w:szCs w:val="20"/>
        </w:rPr>
        <w:t>s</w:t>
      </w:r>
      <w:r w:rsidRPr="00D64FD0">
        <w:rPr>
          <w:rFonts w:ascii="Arial" w:hAnsi="Arial" w:cs="Arial"/>
          <w:sz w:val="20"/>
          <w:szCs w:val="20"/>
        </w:rPr>
        <w:t xml:space="preserve">) ainsi que les IOA en situation de complexité ressentie par le malade ou le praticien initial.  </w:t>
      </w:r>
    </w:p>
    <w:p w:rsidR="008621FA" w:rsidRPr="00D64FD0" w:rsidRDefault="008621FA" w:rsidP="00D64FD0">
      <w:pPr>
        <w:pStyle w:val="Paragraphedeliste"/>
        <w:numPr>
          <w:ilvl w:val="0"/>
          <w:numId w:val="1"/>
        </w:numPr>
        <w:spacing w:after="0" w:line="240" w:lineRule="auto"/>
        <w:jc w:val="both"/>
        <w:rPr>
          <w:rFonts w:ascii="Arial" w:hAnsi="Arial" w:cs="Arial"/>
          <w:sz w:val="20"/>
          <w:szCs w:val="20"/>
        </w:rPr>
      </w:pPr>
      <w:r w:rsidRPr="00D64FD0">
        <w:rPr>
          <w:rFonts w:ascii="Arial" w:hAnsi="Arial" w:cs="Arial"/>
          <w:sz w:val="20"/>
          <w:szCs w:val="20"/>
        </w:rPr>
        <w:t xml:space="preserve">Le centre de référence organise et centralise les </w:t>
      </w:r>
      <w:r w:rsidR="001E5374">
        <w:rPr>
          <w:rFonts w:ascii="Arial" w:hAnsi="Arial" w:cs="Arial"/>
          <w:sz w:val="20"/>
          <w:szCs w:val="20"/>
        </w:rPr>
        <w:t>R</w:t>
      </w:r>
      <w:r w:rsidR="002660FC">
        <w:rPr>
          <w:rFonts w:ascii="Arial" w:hAnsi="Arial" w:cs="Arial"/>
          <w:sz w:val="20"/>
          <w:szCs w:val="20"/>
        </w:rPr>
        <w:t>éunions de Concertation Pluridisciplinaire</w:t>
      </w:r>
      <w:r w:rsidR="00B73346">
        <w:rPr>
          <w:rStyle w:val="Appelnotedebasdep"/>
          <w:rFonts w:ascii="Arial" w:hAnsi="Arial" w:cs="Arial"/>
          <w:sz w:val="20"/>
          <w:szCs w:val="20"/>
        </w:rPr>
        <w:footnoteReference w:id="1"/>
      </w:r>
      <w:r w:rsidR="002660FC">
        <w:rPr>
          <w:rFonts w:ascii="Arial" w:hAnsi="Arial" w:cs="Arial"/>
          <w:sz w:val="20"/>
          <w:szCs w:val="20"/>
        </w:rPr>
        <w:t xml:space="preserve"> (</w:t>
      </w:r>
      <w:r w:rsidRPr="00D64FD0">
        <w:rPr>
          <w:rFonts w:ascii="Arial" w:hAnsi="Arial" w:cs="Arial"/>
          <w:sz w:val="20"/>
          <w:szCs w:val="20"/>
        </w:rPr>
        <w:t>RCP</w:t>
      </w:r>
      <w:r w:rsidR="002660FC">
        <w:rPr>
          <w:rFonts w:ascii="Arial" w:hAnsi="Arial" w:cs="Arial"/>
          <w:sz w:val="20"/>
          <w:szCs w:val="20"/>
        </w:rPr>
        <w:t>)</w:t>
      </w:r>
      <w:r w:rsidRPr="00D64FD0">
        <w:rPr>
          <w:rFonts w:ascii="Arial" w:hAnsi="Arial" w:cs="Arial"/>
          <w:sz w:val="20"/>
          <w:szCs w:val="20"/>
        </w:rPr>
        <w:t xml:space="preserve"> pour tous les patients (ceux qu’il a  pris en charge  et  ceux  qui  ont  été  adressés  par  un  établissement  de  santé  ou  un  centre « correspondant »). Le centre de référence valide le caractère complexe de l’IOA et définit le lieu de prise en charge ainsi que la stratégie de prise en charge.</w:t>
      </w:r>
    </w:p>
    <w:p w:rsidR="006A4551" w:rsidRPr="00D64FD0" w:rsidRDefault="006A4551" w:rsidP="00D64FD0">
      <w:pPr>
        <w:pStyle w:val="Paragraphedeliste"/>
        <w:numPr>
          <w:ilvl w:val="0"/>
          <w:numId w:val="1"/>
        </w:numPr>
        <w:spacing w:after="0" w:line="240" w:lineRule="auto"/>
        <w:jc w:val="both"/>
        <w:rPr>
          <w:rFonts w:ascii="Arial" w:hAnsi="Arial" w:cs="Arial"/>
          <w:sz w:val="20"/>
          <w:szCs w:val="20"/>
        </w:rPr>
      </w:pPr>
      <w:r w:rsidRPr="00D64FD0">
        <w:rPr>
          <w:rFonts w:ascii="Arial" w:hAnsi="Arial" w:cs="Arial"/>
          <w:sz w:val="20"/>
          <w:szCs w:val="20"/>
        </w:rPr>
        <w:t>Chaque centre de référence a par ailleurs, une mission d’évaluation, de recherche, et d’enseignement. A ce titre, il établit et diffuse, en partenariat avec les établissements de santé correspondants, des procédures pour la prise en charge d’une IOA au stade initial et contribue à la rédaction de guides de bonnes pratiques au niveau national.</w:t>
      </w:r>
    </w:p>
    <w:p w:rsidR="006A4551" w:rsidRDefault="006A4551" w:rsidP="00D64FD0">
      <w:pPr>
        <w:spacing w:after="0" w:line="240" w:lineRule="auto"/>
        <w:ind w:left="561"/>
        <w:jc w:val="both"/>
        <w:rPr>
          <w:rFonts w:ascii="Arial" w:hAnsi="Arial" w:cs="Arial"/>
          <w:sz w:val="20"/>
          <w:szCs w:val="20"/>
        </w:rPr>
      </w:pPr>
    </w:p>
    <w:p w:rsidR="006A4551" w:rsidRDefault="00604606" w:rsidP="00604606">
      <w:pPr>
        <w:spacing w:after="0" w:line="240" w:lineRule="auto"/>
        <w:jc w:val="both"/>
        <w:rPr>
          <w:rFonts w:ascii="Arial" w:hAnsi="Arial" w:cs="Arial"/>
          <w:sz w:val="20"/>
          <w:szCs w:val="20"/>
        </w:rPr>
      </w:pPr>
      <w:r>
        <w:rPr>
          <w:rFonts w:ascii="Arial" w:hAnsi="Arial" w:cs="Arial"/>
          <w:sz w:val="20"/>
          <w:szCs w:val="20"/>
        </w:rPr>
        <w:t>La liste des centres de référence se trouve en annexe</w:t>
      </w:r>
      <w:r w:rsidR="006A2B2A">
        <w:rPr>
          <w:rFonts w:ascii="Arial" w:hAnsi="Arial" w:cs="Arial"/>
          <w:sz w:val="20"/>
          <w:szCs w:val="20"/>
        </w:rPr>
        <w:t xml:space="preserve"> 1</w:t>
      </w:r>
      <w:r>
        <w:rPr>
          <w:rFonts w:ascii="Arial" w:hAnsi="Arial" w:cs="Arial"/>
          <w:sz w:val="20"/>
          <w:szCs w:val="20"/>
        </w:rPr>
        <w:t xml:space="preserve"> à la fin de ce document.</w:t>
      </w:r>
    </w:p>
    <w:p w:rsidR="00B54A13" w:rsidRDefault="00B54A13" w:rsidP="006665D0">
      <w:pPr>
        <w:spacing w:after="0" w:line="240" w:lineRule="auto"/>
        <w:jc w:val="both"/>
        <w:rPr>
          <w:rFonts w:ascii="Arial" w:hAnsi="Arial" w:cs="Arial"/>
          <w:b/>
          <w:bCs/>
          <w:sz w:val="20"/>
          <w:szCs w:val="20"/>
        </w:rPr>
      </w:pPr>
    </w:p>
    <w:p w:rsidR="006665D0" w:rsidRPr="00D64FD0" w:rsidRDefault="006665D0" w:rsidP="00D64FD0">
      <w:pPr>
        <w:spacing w:after="0" w:line="240" w:lineRule="auto"/>
        <w:ind w:left="561"/>
        <w:jc w:val="both"/>
        <w:rPr>
          <w:rFonts w:ascii="Arial" w:hAnsi="Arial" w:cs="Arial"/>
          <w:sz w:val="20"/>
          <w:szCs w:val="20"/>
        </w:rPr>
      </w:pPr>
    </w:p>
    <w:p w:rsidR="008621FA" w:rsidRPr="0071236E" w:rsidRDefault="008621FA" w:rsidP="00AE4BDD">
      <w:pPr>
        <w:pStyle w:val="Paragraphedeliste"/>
        <w:numPr>
          <w:ilvl w:val="0"/>
          <w:numId w:val="6"/>
        </w:numPr>
        <w:jc w:val="both"/>
        <w:outlineLvl w:val="1"/>
        <w:rPr>
          <w:rFonts w:ascii="Arial" w:hAnsi="Arial" w:cs="Arial"/>
          <w:b/>
          <w:color w:val="514B64"/>
        </w:rPr>
      </w:pPr>
      <w:bookmarkStart w:id="18" w:name="_Toc496603307"/>
      <w:r w:rsidRPr="0071236E">
        <w:rPr>
          <w:rFonts w:ascii="Arial" w:hAnsi="Arial" w:cs="Arial"/>
          <w:b/>
          <w:color w:val="514B64"/>
        </w:rPr>
        <w:t>Les centres correspondants</w:t>
      </w:r>
      <w:bookmarkEnd w:id="18"/>
    </w:p>
    <w:p w:rsidR="006A4551" w:rsidRPr="00D64FD0" w:rsidRDefault="006A4551" w:rsidP="00D64FD0">
      <w:pPr>
        <w:spacing w:after="0" w:line="240" w:lineRule="auto"/>
        <w:jc w:val="both"/>
        <w:rPr>
          <w:rFonts w:ascii="Arial" w:hAnsi="Arial" w:cs="Arial"/>
          <w:sz w:val="20"/>
          <w:szCs w:val="20"/>
        </w:rPr>
      </w:pPr>
      <w:r w:rsidRPr="00D64FD0">
        <w:rPr>
          <w:rFonts w:ascii="Arial" w:hAnsi="Arial" w:cs="Arial"/>
          <w:sz w:val="20"/>
          <w:szCs w:val="20"/>
        </w:rPr>
        <w:t xml:space="preserve">Ils sont les interlocuteurs privilégiés des centres de référence pour une prise en charge optimale du patient. </w:t>
      </w:r>
    </w:p>
    <w:p w:rsidR="0092211D" w:rsidRPr="00D64FD0" w:rsidRDefault="0092211D" w:rsidP="00D64FD0">
      <w:pPr>
        <w:spacing w:after="0" w:line="240" w:lineRule="auto"/>
        <w:jc w:val="both"/>
        <w:rPr>
          <w:rFonts w:ascii="Arial" w:hAnsi="Arial" w:cs="Arial"/>
          <w:sz w:val="20"/>
          <w:szCs w:val="20"/>
        </w:rPr>
      </w:pPr>
      <w:r w:rsidRPr="00D64FD0">
        <w:rPr>
          <w:rFonts w:ascii="Arial" w:hAnsi="Arial" w:cs="Arial"/>
          <w:sz w:val="20"/>
          <w:szCs w:val="20"/>
        </w:rPr>
        <w:t>Leurs fonctions :</w:t>
      </w:r>
    </w:p>
    <w:p w:rsidR="006A4551" w:rsidRPr="00D64FD0" w:rsidRDefault="006A4551" w:rsidP="00D64FD0">
      <w:pPr>
        <w:pStyle w:val="Paragraphedeliste"/>
        <w:numPr>
          <w:ilvl w:val="0"/>
          <w:numId w:val="2"/>
        </w:numPr>
        <w:spacing w:after="0" w:line="240" w:lineRule="auto"/>
        <w:jc w:val="both"/>
        <w:rPr>
          <w:rFonts w:ascii="Arial" w:hAnsi="Arial" w:cs="Arial"/>
          <w:sz w:val="20"/>
          <w:szCs w:val="20"/>
        </w:rPr>
      </w:pPr>
      <w:r w:rsidRPr="00D64FD0">
        <w:rPr>
          <w:rFonts w:ascii="Arial" w:hAnsi="Arial" w:cs="Arial"/>
          <w:sz w:val="20"/>
          <w:szCs w:val="20"/>
        </w:rPr>
        <w:t>Ils participent à la prise en charge des IOA selon des procédures défini</w:t>
      </w:r>
      <w:r w:rsidR="007E26B1">
        <w:rPr>
          <w:rFonts w:ascii="Arial" w:hAnsi="Arial" w:cs="Arial"/>
          <w:sz w:val="20"/>
          <w:szCs w:val="20"/>
        </w:rPr>
        <w:t>es avec le centre de référence,</w:t>
      </w:r>
    </w:p>
    <w:p w:rsidR="006A4551" w:rsidRPr="00D64FD0" w:rsidRDefault="006A4551" w:rsidP="00D64FD0">
      <w:pPr>
        <w:pStyle w:val="Paragraphedeliste"/>
        <w:numPr>
          <w:ilvl w:val="0"/>
          <w:numId w:val="2"/>
        </w:numPr>
        <w:spacing w:after="0" w:line="240" w:lineRule="auto"/>
        <w:jc w:val="both"/>
        <w:rPr>
          <w:rFonts w:ascii="Arial" w:hAnsi="Arial" w:cs="Arial"/>
          <w:sz w:val="20"/>
          <w:szCs w:val="20"/>
        </w:rPr>
      </w:pPr>
      <w:r w:rsidRPr="00D64FD0">
        <w:rPr>
          <w:rFonts w:ascii="Arial" w:hAnsi="Arial" w:cs="Arial"/>
          <w:sz w:val="20"/>
          <w:szCs w:val="20"/>
        </w:rPr>
        <w:t>Ils fonctionnent de façon pluridisciplinaire</w:t>
      </w:r>
      <w:r w:rsidR="007E26B1">
        <w:rPr>
          <w:rFonts w:ascii="Arial" w:hAnsi="Arial" w:cs="Arial"/>
          <w:sz w:val="20"/>
          <w:szCs w:val="20"/>
        </w:rPr>
        <w:t>,</w:t>
      </w:r>
      <w:r w:rsidRPr="00D64FD0">
        <w:rPr>
          <w:rFonts w:ascii="Arial" w:hAnsi="Arial" w:cs="Arial"/>
          <w:sz w:val="20"/>
          <w:szCs w:val="20"/>
        </w:rPr>
        <w:t xml:space="preserve"> </w:t>
      </w:r>
    </w:p>
    <w:p w:rsidR="006A4551" w:rsidRPr="00D64FD0" w:rsidRDefault="001B6278" w:rsidP="00D64FD0">
      <w:pPr>
        <w:pStyle w:val="Paragraphedeliste"/>
        <w:numPr>
          <w:ilvl w:val="0"/>
          <w:numId w:val="2"/>
        </w:numPr>
        <w:spacing w:after="0" w:line="240" w:lineRule="auto"/>
        <w:jc w:val="both"/>
        <w:rPr>
          <w:rFonts w:ascii="Arial" w:hAnsi="Arial" w:cs="Arial"/>
          <w:sz w:val="20"/>
          <w:szCs w:val="20"/>
        </w:rPr>
      </w:pPr>
      <w:r w:rsidRPr="00D64FD0">
        <w:rPr>
          <w:rFonts w:ascii="Arial" w:hAnsi="Arial" w:cs="Arial"/>
          <w:sz w:val="20"/>
          <w:szCs w:val="20"/>
        </w:rPr>
        <w:t>Ils organisent</w:t>
      </w:r>
      <w:r w:rsidR="007E26B1">
        <w:rPr>
          <w:rFonts w:ascii="Arial" w:hAnsi="Arial" w:cs="Arial"/>
          <w:sz w:val="20"/>
          <w:szCs w:val="20"/>
        </w:rPr>
        <w:t xml:space="preserve"> également</w:t>
      </w:r>
      <w:r w:rsidRPr="00D64FD0">
        <w:rPr>
          <w:rFonts w:ascii="Arial" w:hAnsi="Arial" w:cs="Arial"/>
          <w:sz w:val="20"/>
          <w:szCs w:val="20"/>
        </w:rPr>
        <w:t xml:space="preserve"> les </w:t>
      </w:r>
      <w:r w:rsidR="000E6837">
        <w:rPr>
          <w:rFonts w:ascii="Arial" w:hAnsi="Arial" w:cs="Arial"/>
          <w:b/>
          <w:sz w:val="20"/>
          <w:szCs w:val="20"/>
        </w:rPr>
        <w:t>R</w:t>
      </w:r>
      <w:r w:rsidRPr="00D64FD0">
        <w:rPr>
          <w:rFonts w:ascii="Arial" w:hAnsi="Arial" w:cs="Arial"/>
          <w:b/>
          <w:sz w:val="20"/>
          <w:szCs w:val="20"/>
        </w:rPr>
        <w:t xml:space="preserve">éunions de </w:t>
      </w:r>
      <w:r w:rsidR="000E6837">
        <w:rPr>
          <w:rFonts w:ascii="Arial" w:hAnsi="Arial" w:cs="Arial"/>
          <w:b/>
          <w:sz w:val="20"/>
          <w:szCs w:val="20"/>
        </w:rPr>
        <w:t>Concertation Pluridisciplinaire (</w:t>
      </w:r>
      <w:r w:rsidRPr="00D64FD0">
        <w:rPr>
          <w:rFonts w:ascii="Arial" w:hAnsi="Arial" w:cs="Arial"/>
          <w:b/>
          <w:sz w:val="20"/>
          <w:szCs w:val="20"/>
        </w:rPr>
        <w:t>RCP</w:t>
      </w:r>
      <w:r w:rsidR="000E6837">
        <w:rPr>
          <w:rFonts w:ascii="Arial" w:hAnsi="Arial" w:cs="Arial"/>
          <w:b/>
          <w:sz w:val="20"/>
          <w:szCs w:val="20"/>
        </w:rPr>
        <w:t>)</w:t>
      </w:r>
      <w:r w:rsidRPr="00D64FD0">
        <w:rPr>
          <w:rFonts w:ascii="Arial" w:hAnsi="Arial" w:cs="Arial"/>
          <w:b/>
          <w:sz w:val="20"/>
          <w:szCs w:val="20"/>
        </w:rPr>
        <w:t xml:space="preserve"> </w:t>
      </w:r>
      <w:r w:rsidR="0092211D" w:rsidRPr="00D64FD0">
        <w:rPr>
          <w:rFonts w:ascii="Arial" w:hAnsi="Arial" w:cs="Arial"/>
          <w:sz w:val="20"/>
          <w:szCs w:val="20"/>
        </w:rPr>
        <w:t>pour les patients atteints d’</w:t>
      </w:r>
      <w:r w:rsidR="006A4551" w:rsidRPr="00D64FD0">
        <w:rPr>
          <w:rFonts w:ascii="Arial" w:hAnsi="Arial" w:cs="Arial"/>
          <w:sz w:val="20"/>
          <w:szCs w:val="20"/>
        </w:rPr>
        <w:t>IOA (simple</w:t>
      </w:r>
      <w:r w:rsidR="00971839">
        <w:rPr>
          <w:rFonts w:ascii="Arial" w:hAnsi="Arial" w:cs="Arial"/>
          <w:sz w:val="20"/>
          <w:szCs w:val="20"/>
        </w:rPr>
        <w:t>s</w:t>
      </w:r>
      <w:r w:rsidR="006A4551" w:rsidRPr="00D64FD0">
        <w:rPr>
          <w:rFonts w:ascii="Arial" w:hAnsi="Arial" w:cs="Arial"/>
          <w:sz w:val="20"/>
          <w:szCs w:val="20"/>
        </w:rPr>
        <w:t xml:space="preserve">  et  complexe</w:t>
      </w:r>
      <w:r w:rsidR="00971839">
        <w:rPr>
          <w:rFonts w:ascii="Arial" w:hAnsi="Arial" w:cs="Arial"/>
          <w:sz w:val="20"/>
          <w:szCs w:val="20"/>
        </w:rPr>
        <w:t>s</w:t>
      </w:r>
      <w:r w:rsidR="006A4551" w:rsidRPr="00D64FD0">
        <w:rPr>
          <w:rFonts w:ascii="Arial" w:hAnsi="Arial" w:cs="Arial"/>
          <w:sz w:val="20"/>
          <w:szCs w:val="20"/>
        </w:rPr>
        <w:t>) et transmettent la fiche de RCP au centre de référence pour assurer un suivi épidémiologique régional et inter-régional, pour confirmer les critères de complexité de chaque infection et la cohérence d</w:t>
      </w:r>
      <w:r w:rsidR="007E26B1">
        <w:rPr>
          <w:rFonts w:ascii="Arial" w:hAnsi="Arial" w:cs="Arial"/>
          <w:sz w:val="20"/>
          <w:szCs w:val="20"/>
        </w:rPr>
        <w:t>e la prise en charge envisagée,</w:t>
      </w:r>
    </w:p>
    <w:p w:rsidR="006A4551" w:rsidRPr="00D64FD0" w:rsidRDefault="0092211D" w:rsidP="00D64FD0">
      <w:pPr>
        <w:pStyle w:val="Paragraphedeliste"/>
        <w:numPr>
          <w:ilvl w:val="0"/>
          <w:numId w:val="2"/>
        </w:numPr>
        <w:spacing w:after="0" w:line="240" w:lineRule="auto"/>
        <w:jc w:val="both"/>
        <w:rPr>
          <w:rFonts w:ascii="Arial" w:hAnsi="Arial" w:cs="Arial"/>
          <w:sz w:val="20"/>
          <w:szCs w:val="20"/>
        </w:rPr>
      </w:pPr>
      <w:r w:rsidRPr="00D64FD0">
        <w:rPr>
          <w:rFonts w:ascii="Arial" w:hAnsi="Arial" w:cs="Arial"/>
          <w:sz w:val="20"/>
          <w:szCs w:val="20"/>
        </w:rPr>
        <w:t xml:space="preserve">Ils s’engagent à utiliser </w:t>
      </w:r>
      <w:r w:rsidR="006A4551" w:rsidRPr="00D64FD0">
        <w:rPr>
          <w:rFonts w:ascii="Arial" w:hAnsi="Arial" w:cs="Arial"/>
          <w:sz w:val="20"/>
          <w:szCs w:val="20"/>
        </w:rPr>
        <w:t xml:space="preserve">les outils qui seront déployés au niveau national en collaboration avec les centres de référence. </w:t>
      </w:r>
    </w:p>
    <w:p w:rsidR="009A031A" w:rsidRPr="00D64FD0" w:rsidRDefault="009A031A" w:rsidP="00D64FD0">
      <w:pPr>
        <w:spacing w:after="0" w:line="240" w:lineRule="auto"/>
        <w:jc w:val="both"/>
        <w:rPr>
          <w:rFonts w:ascii="Arial" w:hAnsi="Arial" w:cs="Arial"/>
          <w:sz w:val="20"/>
          <w:szCs w:val="20"/>
        </w:rPr>
      </w:pPr>
    </w:p>
    <w:p w:rsidR="009A031A" w:rsidRPr="0023353E" w:rsidRDefault="009A031A" w:rsidP="00D64FD0">
      <w:pPr>
        <w:spacing w:after="0" w:line="240" w:lineRule="auto"/>
        <w:jc w:val="both"/>
        <w:rPr>
          <w:rFonts w:ascii="Arial" w:hAnsi="Arial" w:cs="Arial"/>
          <w:sz w:val="20"/>
          <w:szCs w:val="20"/>
          <w:u w:val="single"/>
        </w:rPr>
      </w:pPr>
      <w:r w:rsidRPr="0023353E">
        <w:rPr>
          <w:rFonts w:ascii="Arial" w:hAnsi="Arial" w:cs="Arial"/>
          <w:sz w:val="20"/>
          <w:szCs w:val="20"/>
          <w:u w:val="single"/>
        </w:rPr>
        <w:t>Procédure d’identification des centres correspondants</w:t>
      </w:r>
    </w:p>
    <w:p w:rsidR="009A031A" w:rsidRPr="00D64FD0" w:rsidRDefault="009A031A" w:rsidP="00D64FD0">
      <w:pPr>
        <w:spacing w:after="0" w:line="240" w:lineRule="auto"/>
        <w:jc w:val="both"/>
        <w:rPr>
          <w:rFonts w:ascii="Arial" w:hAnsi="Arial" w:cs="Arial"/>
          <w:sz w:val="20"/>
          <w:szCs w:val="20"/>
        </w:rPr>
      </w:pPr>
    </w:p>
    <w:p w:rsidR="009A031A" w:rsidRPr="00D64FD0" w:rsidRDefault="009A031A" w:rsidP="00D64FD0">
      <w:pPr>
        <w:spacing w:after="0" w:line="240" w:lineRule="auto"/>
        <w:jc w:val="both"/>
        <w:rPr>
          <w:rFonts w:ascii="Arial" w:hAnsi="Arial" w:cs="Arial"/>
          <w:sz w:val="20"/>
          <w:szCs w:val="20"/>
        </w:rPr>
      </w:pPr>
      <w:r w:rsidRPr="00D64FD0">
        <w:rPr>
          <w:rFonts w:ascii="Arial" w:hAnsi="Arial" w:cs="Arial"/>
          <w:sz w:val="20"/>
          <w:szCs w:val="20"/>
        </w:rPr>
        <w:t xml:space="preserve">L’ARS informe les établissements de santé autorisés en médecine, chirurgie ou obstétrique (MCO) de la procédure d’identification du centre correspondant. Les établissements candidats pour être centre correspondant adressent un dossier technique de candidature (annexe IV) à  l’agence régionale de santé (ARS). Les dossiers sont transmis pour avis au centre de référence inter-régional de rattachement. La décision doit être prise en concertation entre les ARS sièges des établissements candidats, l’ARS siège du centre de référence inter-régional et le centre de référence. L’ARS siège du centre de référence inter-régional </w:t>
      </w:r>
      <w:r w:rsidR="004C5D81">
        <w:rPr>
          <w:rFonts w:ascii="Arial" w:hAnsi="Arial" w:cs="Arial"/>
          <w:sz w:val="20"/>
          <w:szCs w:val="20"/>
        </w:rPr>
        <w:t>informe la DGOS</w:t>
      </w:r>
      <w:r w:rsidRPr="00D64FD0">
        <w:rPr>
          <w:rFonts w:ascii="Arial" w:hAnsi="Arial" w:cs="Arial"/>
          <w:sz w:val="20"/>
          <w:szCs w:val="20"/>
        </w:rPr>
        <w:t xml:space="preserve"> du (ou des) candidat(s) retenu(s). </w:t>
      </w:r>
    </w:p>
    <w:p w:rsidR="008621FA" w:rsidRPr="00D64FD0" w:rsidRDefault="009A031A" w:rsidP="00D64FD0">
      <w:pPr>
        <w:spacing w:after="0" w:line="240" w:lineRule="auto"/>
        <w:jc w:val="both"/>
        <w:rPr>
          <w:rFonts w:ascii="Arial" w:hAnsi="Arial" w:cs="Arial"/>
          <w:sz w:val="20"/>
          <w:szCs w:val="20"/>
        </w:rPr>
      </w:pPr>
      <w:r w:rsidRPr="00D64FD0">
        <w:rPr>
          <w:rFonts w:ascii="Arial" w:hAnsi="Arial" w:cs="Arial"/>
          <w:sz w:val="20"/>
          <w:szCs w:val="20"/>
        </w:rPr>
        <w:t xml:space="preserve">Un  avenant au contrat pluriannuel d’objectifs et de moyens est alors signé entre l’ARS et </w:t>
      </w:r>
      <w:r w:rsidR="002C25B6">
        <w:rPr>
          <w:rFonts w:ascii="Arial" w:hAnsi="Arial" w:cs="Arial"/>
          <w:sz w:val="20"/>
          <w:szCs w:val="20"/>
        </w:rPr>
        <w:t>l’</w:t>
      </w:r>
      <w:r w:rsidRPr="00D64FD0">
        <w:rPr>
          <w:rFonts w:ascii="Arial" w:hAnsi="Arial" w:cs="Arial"/>
          <w:sz w:val="20"/>
          <w:szCs w:val="20"/>
        </w:rPr>
        <w:t>établissement hébergeant le centre « correspondant ».  Le centre correspondant adresse</w:t>
      </w:r>
      <w:r w:rsidR="00E60821">
        <w:rPr>
          <w:rFonts w:ascii="Arial" w:hAnsi="Arial" w:cs="Arial"/>
          <w:sz w:val="20"/>
          <w:szCs w:val="20"/>
        </w:rPr>
        <w:t xml:space="preserve"> par la suite</w:t>
      </w:r>
      <w:r w:rsidRPr="00D64FD0">
        <w:rPr>
          <w:rFonts w:ascii="Arial" w:hAnsi="Arial" w:cs="Arial"/>
          <w:sz w:val="20"/>
          <w:szCs w:val="20"/>
        </w:rPr>
        <w:t xml:space="preserve"> un rapport annuel d’activité à son centre de référence de rattachement.</w:t>
      </w:r>
    </w:p>
    <w:p w:rsidR="00604606" w:rsidRDefault="00604606" w:rsidP="00604606">
      <w:pPr>
        <w:spacing w:after="0" w:line="240" w:lineRule="auto"/>
        <w:jc w:val="both"/>
        <w:rPr>
          <w:rFonts w:ascii="Arial" w:hAnsi="Arial" w:cs="Arial"/>
          <w:sz w:val="20"/>
          <w:szCs w:val="20"/>
        </w:rPr>
      </w:pPr>
    </w:p>
    <w:p w:rsidR="00604606" w:rsidRDefault="00604606" w:rsidP="00604606">
      <w:pPr>
        <w:spacing w:after="0" w:line="240" w:lineRule="auto"/>
        <w:jc w:val="both"/>
        <w:rPr>
          <w:rFonts w:ascii="Arial" w:hAnsi="Arial" w:cs="Arial"/>
          <w:sz w:val="20"/>
          <w:szCs w:val="20"/>
        </w:rPr>
      </w:pPr>
      <w:r>
        <w:rPr>
          <w:rFonts w:ascii="Arial" w:hAnsi="Arial" w:cs="Arial"/>
          <w:sz w:val="20"/>
          <w:szCs w:val="20"/>
        </w:rPr>
        <w:t>La liste des centres correspondants se trouve en annexe</w:t>
      </w:r>
      <w:r w:rsidR="006A2B2A">
        <w:rPr>
          <w:rFonts w:ascii="Arial" w:hAnsi="Arial" w:cs="Arial"/>
          <w:sz w:val="20"/>
          <w:szCs w:val="20"/>
        </w:rPr>
        <w:t xml:space="preserve"> 1</w:t>
      </w:r>
      <w:r>
        <w:rPr>
          <w:rFonts w:ascii="Arial" w:hAnsi="Arial" w:cs="Arial"/>
          <w:sz w:val="20"/>
          <w:szCs w:val="20"/>
        </w:rPr>
        <w:t xml:space="preserve"> à la fin de ce document.</w:t>
      </w:r>
    </w:p>
    <w:p w:rsidR="008759C9" w:rsidRDefault="008759C9" w:rsidP="00604606">
      <w:pPr>
        <w:spacing w:after="0" w:line="240" w:lineRule="auto"/>
        <w:jc w:val="both"/>
        <w:rPr>
          <w:rFonts w:ascii="Arial" w:hAnsi="Arial" w:cs="Arial"/>
          <w:sz w:val="20"/>
          <w:szCs w:val="20"/>
        </w:rPr>
      </w:pPr>
    </w:p>
    <w:p w:rsidR="008759C9" w:rsidRDefault="008759C9" w:rsidP="00604606">
      <w:pPr>
        <w:spacing w:after="0" w:line="240" w:lineRule="auto"/>
        <w:jc w:val="both"/>
        <w:rPr>
          <w:rFonts w:ascii="Arial" w:hAnsi="Arial" w:cs="Arial"/>
          <w:sz w:val="20"/>
          <w:szCs w:val="20"/>
        </w:rPr>
      </w:pPr>
    </w:p>
    <w:p w:rsidR="008759C9" w:rsidRDefault="008759C9" w:rsidP="00604606">
      <w:pPr>
        <w:spacing w:after="0" w:line="240" w:lineRule="auto"/>
        <w:jc w:val="both"/>
        <w:rPr>
          <w:rFonts w:ascii="Arial" w:hAnsi="Arial" w:cs="Arial"/>
          <w:sz w:val="20"/>
          <w:szCs w:val="20"/>
        </w:rPr>
      </w:pPr>
    </w:p>
    <w:p w:rsidR="007B6702" w:rsidRPr="0071236E" w:rsidRDefault="007B6702" w:rsidP="00AE4BDD">
      <w:pPr>
        <w:pStyle w:val="Paragraphedeliste"/>
        <w:numPr>
          <w:ilvl w:val="0"/>
          <w:numId w:val="6"/>
        </w:numPr>
        <w:jc w:val="both"/>
        <w:outlineLvl w:val="1"/>
        <w:rPr>
          <w:rFonts w:ascii="Arial" w:hAnsi="Arial" w:cs="Arial"/>
          <w:b/>
          <w:color w:val="514B64"/>
        </w:rPr>
      </w:pPr>
      <w:bookmarkStart w:id="19" w:name="_Toc496603308"/>
      <w:r w:rsidRPr="0071236E">
        <w:rPr>
          <w:rFonts w:ascii="Arial" w:hAnsi="Arial" w:cs="Arial"/>
          <w:b/>
          <w:color w:val="514B64"/>
        </w:rPr>
        <w:t xml:space="preserve">Les autres </w:t>
      </w:r>
      <w:r w:rsidR="00E60821">
        <w:rPr>
          <w:rFonts w:ascii="Arial" w:hAnsi="Arial" w:cs="Arial"/>
          <w:b/>
          <w:color w:val="514B64"/>
        </w:rPr>
        <w:t>établissements</w:t>
      </w:r>
      <w:bookmarkEnd w:id="19"/>
    </w:p>
    <w:p w:rsidR="007B6702" w:rsidRPr="00D64FD0" w:rsidRDefault="007B6702" w:rsidP="00D64FD0">
      <w:pPr>
        <w:spacing w:line="240" w:lineRule="auto"/>
        <w:jc w:val="both"/>
        <w:rPr>
          <w:rFonts w:ascii="Arial" w:hAnsi="Arial" w:cs="Arial"/>
          <w:sz w:val="20"/>
          <w:szCs w:val="20"/>
        </w:rPr>
      </w:pPr>
      <w:r w:rsidRPr="00D64FD0">
        <w:rPr>
          <w:rFonts w:ascii="Arial" w:hAnsi="Arial" w:cs="Arial"/>
          <w:sz w:val="20"/>
          <w:szCs w:val="20"/>
        </w:rPr>
        <w:t>Le patient atteint d’une IOA complexe doit être adressé à un centre de référence qui déterminera un lieu et une prise en charge adaptée à la situation.</w:t>
      </w:r>
    </w:p>
    <w:p w:rsidR="007B6702" w:rsidRPr="00D64FD0" w:rsidRDefault="007B6702" w:rsidP="00D64FD0">
      <w:pPr>
        <w:spacing w:line="240" w:lineRule="auto"/>
        <w:jc w:val="both"/>
        <w:rPr>
          <w:rFonts w:ascii="Arial" w:hAnsi="Arial" w:cs="Arial"/>
          <w:sz w:val="20"/>
          <w:szCs w:val="20"/>
        </w:rPr>
      </w:pPr>
      <w:r w:rsidRPr="00D64FD0">
        <w:rPr>
          <w:rFonts w:ascii="Arial" w:hAnsi="Arial" w:cs="Arial"/>
          <w:sz w:val="20"/>
          <w:szCs w:val="20"/>
        </w:rPr>
        <w:t xml:space="preserve">En cas de nécessité d’une prise en charge urgente d’un patient, les soins nécessaires peuvent être assurés initialement dans l’établissement d’origine. Un avis ou une demande de prise </w:t>
      </w:r>
      <w:r w:rsidR="004C5D81">
        <w:rPr>
          <w:rFonts w:ascii="Arial" w:hAnsi="Arial" w:cs="Arial"/>
          <w:sz w:val="20"/>
          <w:szCs w:val="20"/>
        </w:rPr>
        <w:t>en</w:t>
      </w:r>
      <w:r w:rsidRPr="00D64FD0">
        <w:rPr>
          <w:rFonts w:ascii="Arial" w:hAnsi="Arial" w:cs="Arial"/>
          <w:sz w:val="20"/>
          <w:szCs w:val="20"/>
        </w:rPr>
        <w:t xml:space="preserve"> charge doit être secondairement effectué auprès de l’un des centres de référence des IOA complexes.</w:t>
      </w:r>
    </w:p>
    <w:p w:rsidR="007B6702" w:rsidRPr="00D64FD0" w:rsidRDefault="007B6702" w:rsidP="00D64FD0">
      <w:pPr>
        <w:spacing w:line="240" w:lineRule="auto"/>
        <w:jc w:val="both"/>
        <w:rPr>
          <w:rFonts w:ascii="Arial" w:hAnsi="Arial" w:cs="Arial"/>
          <w:sz w:val="20"/>
          <w:szCs w:val="20"/>
          <w:u w:val="single"/>
        </w:rPr>
      </w:pPr>
    </w:p>
    <w:p w:rsidR="007B6702" w:rsidRPr="0071236E" w:rsidRDefault="007B6702" w:rsidP="00AE4BDD">
      <w:pPr>
        <w:pStyle w:val="Paragraphedeliste"/>
        <w:numPr>
          <w:ilvl w:val="0"/>
          <w:numId w:val="6"/>
        </w:numPr>
        <w:spacing w:line="240" w:lineRule="auto"/>
        <w:jc w:val="both"/>
        <w:outlineLvl w:val="1"/>
        <w:rPr>
          <w:rFonts w:ascii="Arial" w:hAnsi="Arial" w:cs="Arial"/>
          <w:b/>
          <w:color w:val="514B64"/>
        </w:rPr>
      </w:pPr>
      <w:bookmarkStart w:id="20" w:name="_Toc496603309"/>
      <w:r w:rsidRPr="0071236E">
        <w:rPr>
          <w:rFonts w:ascii="Arial" w:hAnsi="Arial" w:cs="Arial"/>
          <w:b/>
          <w:color w:val="514B64"/>
        </w:rPr>
        <w:t>Les structures d’aval</w:t>
      </w:r>
      <w:bookmarkEnd w:id="20"/>
    </w:p>
    <w:p w:rsidR="00EC55BD" w:rsidRDefault="007B6702" w:rsidP="00D64FD0">
      <w:pPr>
        <w:spacing w:line="240" w:lineRule="auto"/>
        <w:jc w:val="both"/>
        <w:rPr>
          <w:rFonts w:ascii="Arial" w:hAnsi="Arial" w:cs="Arial"/>
          <w:sz w:val="20"/>
          <w:szCs w:val="20"/>
        </w:rPr>
      </w:pPr>
      <w:r w:rsidRPr="00D64FD0">
        <w:rPr>
          <w:rFonts w:ascii="Arial" w:hAnsi="Arial" w:cs="Arial"/>
          <w:sz w:val="20"/>
          <w:szCs w:val="20"/>
        </w:rPr>
        <w:t>Ces structures d’aval peuvent être</w:t>
      </w:r>
      <w:r w:rsidR="00EC55BD">
        <w:rPr>
          <w:rFonts w:ascii="Arial" w:hAnsi="Arial" w:cs="Arial"/>
          <w:sz w:val="20"/>
          <w:szCs w:val="20"/>
        </w:rPr>
        <w:t> :</w:t>
      </w:r>
    </w:p>
    <w:p w:rsidR="00EC55BD" w:rsidRDefault="007B6702" w:rsidP="00AE4BDD">
      <w:pPr>
        <w:pStyle w:val="Paragraphedeliste"/>
        <w:numPr>
          <w:ilvl w:val="0"/>
          <w:numId w:val="12"/>
        </w:numPr>
        <w:spacing w:line="240" w:lineRule="auto"/>
        <w:jc w:val="both"/>
        <w:rPr>
          <w:rFonts w:ascii="Arial" w:hAnsi="Arial" w:cs="Arial"/>
          <w:sz w:val="20"/>
          <w:szCs w:val="20"/>
        </w:rPr>
      </w:pPr>
      <w:r w:rsidRPr="00EC55BD">
        <w:rPr>
          <w:rFonts w:ascii="Arial" w:hAnsi="Arial" w:cs="Arial"/>
          <w:sz w:val="20"/>
          <w:szCs w:val="20"/>
        </w:rPr>
        <w:t xml:space="preserve">des structures de soins </w:t>
      </w:r>
      <w:r w:rsidR="00EC55BD">
        <w:rPr>
          <w:rFonts w:ascii="Arial" w:hAnsi="Arial" w:cs="Arial"/>
          <w:sz w:val="20"/>
          <w:szCs w:val="20"/>
        </w:rPr>
        <w:t xml:space="preserve">de suite </w:t>
      </w:r>
      <w:r w:rsidRPr="00EC55BD">
        <w:rPr>
          <w:rFonts w:ascii="Arial" w:hAnsi="Arial" w:cs="Arial"/>
          <w:sz w:val="20"/>
          <w:szCs w:val="20"/>
        </w:rPr>
        <w:t>et de réadaptation</w:t>
      </w:r>
      <w:r w:rsidR="00EC55BD">
        <w:rPr>
          <w:rFonts w:ascii="Arial" w:hAnsi="Arial" w:cs="Arial"/>
          <w:sz w:val="20"/>
          <w:szCs w:val="20"/>
        </w:rPr>
        <w:t xml:space="preserve"> (SSR)</w:t>
      </w:r>
      <w:r w:rsidRPr="00EC55BD">
        <w:rPr>
          <w:rFonts w:ascii="Arial" w:hAnsi="Arial" w:cs="Arial"/>
          <w:sz w:val="20"/>
          <w:szCs w:val="20"/>
        </w:rPr>
        <w:t xml:space="preserve">, </w:t>
      </w:r>
    </w:p>
    <w:p w:rsidR="00EC55BD" w:rsidRPr="00EC55BD" w:rsidRDefault="00EC55BD" w:rsidP="00AE4BDD">
      <w:pPr>
        <w:pStyle w:val="Paragraphedeliste"/>
        <w:numPr>
          <w:ilvl w:val="0"/>
          <w:numId w:val="12"/>
        </w:numPr>
        <w:spacing w:line="240" w:lineRule="auto"/>
        <w:jc w:val="both"/>
        <w:rPr>
          <w:rFonts w:ascii="Arial" w:hAnsi="Arial" w:cs="Arial"/>
          <w:sz w:val="20"/>
          <w:szCs w:val="20"/>
        </w:rPr>
      </w:pPr>
      <w:r w:rsidRPr="00EC55BD">
        <w:rPr>
          <w:rFonts w:ascii="Arial" w:hAnsi="Arial" w:cs="Arial"/>
          <w:sz w:val="20"/>
          <w:szCs w:val="20"/>
        </w:rPr>
        <w:t>des structures</w:t>
      </w:r>
      <w:r>
        <w:rPr>
          <w:rFonts w:ascii="Arial" w:hAnsi="Arial" w:cs="Arial"/>
          <w:sz w:val="20"/>
          <w:szCs w:val="20"/>
        </w:rPr>
        <w:t xml:space="preserve"> d’hospitalisation</w:t>
      </w:r>
      <w:r w:rsidRPr="00EC55BD">
        <w:rPr>
          <w:rFonts w:ascii="Arial" w:hAnsi="Arial" w:cs="Arial"/>
          <w:sz w:val="20"/>
          <w:szCs w:val="20"/>
        </w:rPr>
        <w:t xml:space="preserve"> à domicile</w:t>
      </w:r>
      <w:r>
        <w:rPr>
          <w:rFonts w:ascii="Arial" w:hAnsi="Arial" w:cs="Arial"/>
          <w:sz w:val="20"/>
          <w:szCs w:val="20"/>
        </w:rPr>
        <w:t xml:space="preserve"> (HAD),</w:t>
      </w:r>
    </w:p>
    <w:p w:rsidR="00EC55BD" w:rsidRDefault="007B6702" w:rsidP="00AE4BDD">
      <w:pPr>
        <w:pStyle w:val="Paragraphedeliste"/>
        <w:numPr>
          <w:ilvl w:val="0"/>
          <w:numId w:val="12"/>
        </w:numPr>
        <w:spacing w:line="240" w:lineRule="auto"/>
        <w:jc w:val="both"/>
        <w:rPr>
          <w:rFonts w:ascii="Arial" w:hAnsi="Arial" w:cs="Arial"/>
          <w:sz w:val="20"/>
          <w:szCs w:val="20"/>
        </w:rPr>
      </w:pPr>
      <w:r w:rsidRPr="00EC55BD">
        <w:rPr>
          <w:rFonts w:ascii="Arial" w:hAnsi="Arial" w:cs="Arial"/>
          <w:sz w:val="20"/>
          <w:szCs w:val="20"/>
        </w:rPr>
        <w:t xml:space="preserve">une </w:t>
      </w:r>
      <w:r w:rsidR="00EC55BD">
        <w:rPr>
          <w:rFonts w:ascii="Arial" w:hAnsi="Arial" w:cs="Arial"/>
          <w:sz w:val="20"/>
          <w:szCs w:val="20"/>
        </w:rPr>
        <w:t>prise en charge à domicile avec un SSIAD</w:t>
      </w:r>
      <w:r w:rsidR="00655A73">
        <w:rPr>
          <w:rFonts w:ascii="Arial" w:hAnsi="Arial" w:cs="Arial"/>
          <w:sz w:val="20"/>
          <w:szCs w:val="20"/>
        </w:rPr>
        <w:t xml:space="preserve"> </w:t>
      </w:r>
      <w:r w:rsidR="00397FCD">
        <w:rPr>
          <w:rFonts w:ascii="Arial" w:hAnsi="Arial" w:cs="Arial"/>
          <w:sz w:val="20"/>
          <w:szCs w:val="20"/>
        </w:rPr>
        <w:t>(Service de Soins Infirmier A Domicile)</w:t>
      </w:r>
      <w:r w:rsidR="00EC55BD">
        <w:rPr>
          <w:rFonts w:ascii="Arial" w:hAnsi="Arial" w:cs="Arial"/>
          <w:sz w:val="20"/>
          <w:szCs w:val="20"/>
        </w:rPr>
        <w:t>.</w:t>
      </w:r>
    </w:p>
    <w:p w:rsidR="007B6702" w:rsidRPr="00D64FD0" w:rsidRDefault="007B6702" w:rsidP="00D64FD0">
      <w:pPr>
        <w:spacing w:line="240" w:lineRule="auto"/>
        <w:jc w:val="both"/>
        <w:rPr>
          <w:rFonts w:ascii="Arial" w:hAnsi="Arial" w:cs="Arial"/>
          <w:sz w:val="20"/>
          <w:szCs w:val="20"/>
        </w:rPr>
      </w:pPr>
      <w:r w:rsidRPr="00D64FD0">
        <w:rPr>
          <w:rFonts w:ascii="Arial" w:hAnsi="Arial" w:cs="Arial"/>
          <w:sz w:val="20"/>
          <w:szCs w:val="20"/>
        </w:rPr>
        <w:t>Afin d’assurer la rééducation post-chirurgicale orthopédique et le traitement antibio</w:t>
      </w:r>
      <w:r w:rsidR="00397FCD">
        <w:rPr>
          <w:rFonts w:ascii="Arial" w:hAnsi="Arial" w:cs="Arial"/>
          <w:sz w:val="20"/>
          <w:szCs w:val="20"/>
        </w:rPr>
        <w:t xml:space="preserve">tique définis par le centre de </w:t>
      </w:r>
      <w:r w:rsidRPr="00D64FD0">
        <w:rPr>
          <w:rFonts w:ascii="Arial" w:hAnsi="Arial" w:cs="Arial"/>
          <w:sz w:val="20"/>
          <w:szCs w:val="20"/>
        </w:rPr>
        <w:t>référence, des structures d’aval seront identifiées p</w:t>
      </w:r>
      <w:r w:rsidR="002C25B6">
        <w:rPr>
          <w:rFonts w:ascii="Arial" w:hAnsi="Arial" w:cs="Arial"/>
          <w:sz w:val="20"/>
          <w:szCs w:val="20"/>
        </w:rPr>
        <w:t>a</w:t>
      </w:r>
      <w:r w:rsidRPr="00D64FD0">
        <w:rPr>
          <w:rFonts w:ascii="Arial" w:hAnsi="Arial" w:cs="Arial"/>
          <w:sz w:val="20"/>
          <w:szCs w:val="20"/>
        </w:rPr>
        <w:t>r les centres de référence.</w:t>
      </w:r>
    </w:p>
    <w:p w:rsidR="007B6702" w:rsidRPr="00D64FD0" w:rsidRDefault="007B6702" w:rsidP="00D64FD0">
      <w:pPr>
        <w:spacing w:line="240" w:lineRule="auto"/>
        <w:jc w:val="both"/>
        <w:rPr>
          <w:rFonts w:ascii="Arial" w:hAnsi="Arial" w:cs="Arial"/>
          <w:sz w:val="20"/>
          <w:szCs w:val="20"/>
        </w:rPr>
      </w:pPr>
      <w:r w:rsidRPr="00D64FD0">
        <w:rPr>
          <w:rFonts w:ascii="Arial" w:hAnsi="Arial" w:cs="Arial"/>
          <w:sz w:val="20"/>
          <w:szCs w:val="20"/>
        </w:rPr>
        <w:t xml:space="preserve">Ces structures doivent :  </w:t>
      </w:r>
    </w:p>
    <w:p w:rsidR="007B6702" w:rsidRPr="00D64FD0" w:rsidRDefault="007B6702" w:rsidP="00D64FD0">
      <w:pPr>
        <w:pStyle w:val="Paragraphedeliste"/>
        <w:numPr>
          <w:ilvl w:val="0"/>
          <w:numId w:val="3"/>
        </w:numPr>
        <w:spacing w:line="240" w:lineRule="auto"/>
        <w:jc w:val="both"/>
        <w:rPr>
          <w:rFonts w:ascii="Arial" w:hAnsi="Arial" w:cs="Arial"/>
          <w:sz w:val="20"/>
          <w:szCs w:val="20"/>
        </w:rPr>
      </w:pPr>
      <w:r w:rsidRPr="00D64FD0">
        <w:rPr>
          <w:rFonts w:ascii="Arial" w:hAnsi="Arial" w:cs="Arial"/>
          <w:sz w:val="20"/>
          <w:szCs w:val="20"/>
        </w:rPr>
        <w:t xml:space="preserve">passer une convention avec le centre de référence ;  </w:t>
      </w:r>
    </w:p>
    <w:p w:rsidR="007B6702" w:rsidRPr="00D64FD0" w:rsidRDefault="007B6702" w:rsidP="00D64FD0">
      <w:pPr>
        <w:pStyle w:val="Paragraphedeliste"/>
        <w:numPr>
          <w:ilvl w:val="0"/>
          <w:numId w:val="3"/>
        </w:numPr>
        <w:spacing w:line="240" w:lineRule="auto"/>
        <w:jc w:val="both"/>
        <w:rPr>
          <w:rFonts w:ascii="Arial" w:hAnsi="Arial" w:cs="Arial"/>
          <w:sz w:val="20"/>
          <w:szCs w:val="20"/>
        </w:rPr>
      </w:pPr>
      <w:r w:rsidRPr="00D64FD0">
        <w:rPr>
          <w:rFonts w:ascii="Arial" w:hAnsi="Arial" w:cs="Arial"/>
          <w:sz w:val="20"/>
          <w:szCs w:val="20"/>
        </w:rPr>
        <w:t xml:space="preserve">avoir du personnel formé spécifiquement aux protocoles de prise en charge post chirurgicale des patients atteints d'lOA ;  </w:t>
      </w:r>
    </w:p>
    <w:p w:rsidR="007B6702" w:rsidRDefault="007B6702" w:rsidP="00D64FD0">
      <w:pPr>
        <w:pStyle w:val="Paragraphedeliste"/>
        <w:numPr>
          <w:ilvl w:val="0"/>
          <w:numId w:val="3"/>
        </w:numPr>
        <w:jc w:val="both"/>
        <w:rPr>
          <w:rFonts w:ascii="Arial" w:hAnsi="Arial" w:cs="Arial"/>
          <w:sz w:val="20"/>
          <w:szCs w:val="20"/>
        </w:rPr>
      </w:pPr>
      <w:r w:rsidRPr="00D64FD0">
        <w:rPr>
          <w:rFonts w:ascii="Arial" w:hAnsi="Arial" w:cs="Arial"/>
          <w:sz w:val="20"/>
          <w:szCs w:val="20"/>
        </w:rPr>
        <w:t xml:space="preserve">participer au suivi du patient atteint d'IOA complexe en partenariat avec le centre de référence. </w:t>
      </w:r>
    </w:p>
    <w:p w:rsidR="00397FCD" w:rsidRPr="00397FCD" w:rsidRDefault="00397FCD" w:rsidP="00397FCD">
      <w:pPr>
        <w:spacing w:line="240" w:lineRule="auto"/>
        <w:jc w:val="both"/>
        <w:rPr>
          <w:rFonts w:ascii="Arial" w:hAnsi="Arial" w:cs="Arial"/>
          <w:sz w:val="20"/>
          <w:szCs w:val="20"/>
        </w:rPr>
      </w:pPr>
      <w:r w:rsidRPr="00397FCD">
        <w:rPr>
          <w:rFonts w:ascii="Arial" w:hAnsi="Arial" w:cs="Arial"/>
          <w:sz w:val="20"/>
          <w:szCs w:val="20"/>
        </w:rPr>
        <w:t xml:space="preserve">Cette organisation de la prise en charge doit permettre de diminuer la durée de séjour dans les unités de chirurgie et de diminuer le coût global tout en assurant une prise en charge de qualité.  </w:t>
      </w:r>
    </w:p>
    <w:p w:rsidR="00016319" w:rsidRPr="00D64FD0" w:rsidRDefault="00016319" w:rsidP="004839D0">
      <w:pPr>
        <w:jc w:val="both"/>
        <w:rPr>
          <w:rFonts w:ascii="Arial" w:hAnsi="Arial" w:cs="Arial"/>
          <w:sz w:val="20"/>
          <w:szCs w:val="20"/>
          <w:u w:val="single"/>
        </w:rPr>
      </w:pPr>
    </w:p>
    <w:p w:rsidR="00CB67A2" w:rsidRPr="0071236E" w:rsidRDefault="00CB67A2" w:rsidP="003E25BD">
      <w:pPr>
        <w:pStyle w:val="Paragraphedeliste"/>
        <w:numPr>
          <w:ilvl w:val="0"/>
          <w:numId w:val="5"/>
        </w:numPr>
        <w:jc w:val="both"/>
        <w:outlineLvl w:val="0"/>
        <w:rPr>
          <w:rFonts w:ascii="Arial" w:hAnsi="Arial" w:cs="Arial"/>
          <w:b/>
          <w:color w:val="514B64"/>
          <w:sz w:val="24"/>
          <w:szCs w:val="24"/>
        </w:rPr>
      </w:pPr>
      <w:bookmarkStart w:id="21" w:name="_Toc496603310"/>
      <w:r w:rsidRPr="0071236E">
        <w:rPr>
          <w:rFonts w:ascii="Arial" w:hAnsi="Arial" w:cs="Arial"/>
          <w:b/>
          <w:color w:val="514B64"/>
          <w:sz w:val="24"/>
          <w:szCs w:val="24"/>
        </w:rPr>
        <w:t>Présentation du dispositif</w:t>
      </w:r>
      <w:bookmarkEnd w:id="21"/>
    </w:p>
    <w:p w:rsidR="00AE21B5" w:rsidRPr="00D64FD0" w:rsidRDefault="00EF1B45" w:rsidP="00D64FD0">
      <w:pPr>
        <w:jc w:val="both"/>
        <w:rPr>
          <w:rFonts w:ascii="Arial" w:hAnsi="Arial" w:cs="Arial"/>
          <w:sz w:val="20"/>
          <w:szCs w:val="20"/>
        </w:rPr>
      </w:pPr>
      <w:r w:rsidRPr="00D64FD0">
        <w:rPr>
          <w:rFonts w:ascii="Arial" w:hAnsi="Arial" w:cs="Arial"/>
          <w:sz w:val="20"/>
          <w:szCs w:val="20"/>
        </w:rPr>
        <w:t>L’objectif du dispositif est que tout patient atteint d’une IOA répondant aux critères de complexité soit pris en charge au sein d’un centre de référence ou d’un centre correspondant sous certaines conditions :</w:t>
      </w:r>
    </w:p>
    <w:p w:rsidR="00AE21B5" w:rsidRPr="00D64FD0" w:rsidRDefault="00AE21B5" w:rsidP="00D64FD0">
      <w:pPr>
        <w:pStyle w:val="Paragraphedeliste"/>
        <w:numPr>
          <w:ilvl w:val="0"/>
          <w:numId w:val="4"/>
        </w:numPr>
        <w:jc w:val="both"/>
        <w:rPr>
          <w:rFonts w:ascii="Arial" w:hAnsi="Arial" w:cs="Arial"/>
          <w:sz w:val="20"/>
          <w:szCs w:val="20"/>
        </w:rPr>
      </w:pPr>
      <w:r w:rsidRPr="00D64FD0">
        <w:rPr>
          <w:rFonts w:ascii="Arial" w:hAnsi="Arial" w:cs="Arial"/>
          <w:sz w:val="20"/>
          <w:szCs w:val="20"/>
        </w:rPr>
        <w:t xml:space="preserve">Le dossier de chaque patient répondant aux critères de complexité sera discuté au cours </w:t>
      </w:r>
      <w:r w:rsidR="00EF1B45" w:rsidRPr="00D64FD0">
        <w:rPr>
          <w:rFonts w:ascii="Arial" w:hAnsi="Arial" w:cs="Arial"/>
          <w:sz w:val="20"/>
          <w:szCs w:val="20"/>
        </w:rPr>
        <w:t xml:space="preserve">d’une réunion de concertation pluridisciplinaire (RCP) à partir d’une fiche nationale ou interrégionale </w:t>
      </w:r>
      <w:r w:rsidRPr="00D64FD0">
        <w:rPr>
          <w:rFonts w:ascii="Arial" w:hAnsi="Arial" w:cs="Arial"/>
          <w:sz w:val="20"/>
          <w:szCs w:val="20"/>
        </w:rPr>
        <w:t xml:space="preserve">standardisée. La RCP doit réunir au moins un praticien représentant la </w:t>
      </w:r>
      <w:r w:rsidR="00EF1B45" w:rsidRPr="00D64FD0">
        <w:rPr>
          <w:rFonts w:ascii="Arial" w:hAnsi="Arial" w:cs="Arial"/>
          <w:sz w:val="20"/>
          <w:szCs w:val="20"/>
        </w:rPr>
        <w:t>chirurgie orthopédique, un praticien représentant l’infectiologie (ou compétences reconnues en infectiologie des IOA) et un praticien représentant la microbiologie.</w:t>
      </w:r>
    </w:p>
    <w:p w:rsidR="00AE21B5" w:rsidRPr="00D64FD0" w:rsidRDefault="00AE21B5" w:rsidP="00D64FD0">
      <w:pPr>
        <w:pStyle w:val="Paragraphedeliste"/>
        <w:numPr>
          <w:ilvl w:val="0"/>
          <w:numId w:val="4"/>
        </w:numPr>
        <w:jc w:val="both"/>
        <w:rPr>
          <w:rFonts w:ascii="Arial" w:hAnsi="Arial" w:cs="Arial"/>
          <w:sz w:val="20"/>
          <w:szCs w:val="20"/>
        </w:rPr>
      </w:pPr>
      <w:r w:rsidRPr="00D64FD0">
        <w:rPr>
          <w:rFonts w:ascii="Arial" w:hAnsi="Arial" w:cs="Arial"/>
          <w:sz w:val="20"/>
          <w:szCs w:val="20"/>
        </w:rPr>
        <w:t>Toute fiche de RCP devra nécessairement caract</w:t>
      </w:r>
      <w:r w:rsidR="00EF1B45" w:rsidRPr="00D64FD0">
        <w:rPr>
          <w:rFonts w:ascii="Arial" w:hAnsi="Arial" w:cs="Arial"/>
          <w:sz w:val="20"/>
          <w:szCs w:val="20"/>
        </w:rPr>
        <w:t>ériser la complexité de l’IOA, proposer la</w:t>
      </w:r>
      <w:r w:rsidRPr="00D64FD0">
        <w:rPr>
          <w:rFonts w:ascii="Arial" w:hAnsi="Arial" w:cs="Arial"/>
          <w:sz w:val="20"/>
          <w:szCs w:val="20"/>
        </w:rPr>
        <w:t xml:space="preserve"> stratégie médico-</w:t>
      </w:r>
      <w:r w:rsidR="00EF1B45" w:rsidRPr="00D64FD0">
        <w:rPr>
          <w:rFonts w:ascii="Arial" w:hAnsi="Arial" w:cs="Arial"/>
          <w:sz w:val="20"/>
          <w:szCs w:val="20"/>
        </w:rPr>
        <w:t>chirurgicale à mettre en œuvre</w:t>
      </w:r>
      <w:r w:rsidRPr="00D64FD0">
        <w:rPr>
          <w:rFonts w:ascii="Arial" w:hAnsi="Arial" w:cs="Arial"/>
          <w:sz w:val="20"/>
          <w:szCs w:val="20"/>
        </w:rPr>
        <w:t xml:space="preserve"> et la capacité de la structure à assumer cette prise en charge.  </w:t>
      </w:r>
    </w:p>
    <w:p w:rsidR="00AE21B5" w:rsidRPr="00D64FD0" w:rsidRDefault="00AE21B5" w:rsidP="00D64FD0">
      <w:pPr>
        <w:pStyle w:val="Paragraphedeliste"/>
        <w:numPr>
          <w:ilvl w:val="0"/>
          <w:numId w:val="4"/>
        </w:numPr>
        <w:jc w:val="both"/>
        <w:rPr>
          <w:rFonts w:ascii="Arial" w:hAnsi="Arial" w:cs="Arial"/>
          <w:sz w:val="20"/>
          <w:szCs w:val="20"/>
        </w:rPr>
      </w:pPr>
      <w:r w:rsidRPr="00D64FD0">
        <w:rPr>
          <w:rFonts w:ascii="Arial" w:hAnsi="Arial" w:cs="Arial"/>
          <w:sz w:val="20"/>
          <w:szCs w:val="20"/>
        </w:rPr>
        <w:t xml:space="preserve">La fiche RCP sera obligatoirement visée par le centre de référence pour assurer un suivi épidémiologique régional et inter-régional, pour confirmer les critères de complexité de chaque infection et la cohérence de la prise en charge envisagée.  </w:t>
      </w:r>
    </w:p>
    <w:p w:rsidR="00AE21B5" w:rsidRPr="00D64FD0" w:rsidRDefault="00EF1B45" w:rsidP="00D64FD0">
      <w:pPr>
        <w:pStyle w:val="Paragraphedeliste"/>
        <w:numPr>
          <w:ilvl w:val="0"/>
          <w:numId w:val="4"/>
        </w:numPr>
        <w:jc w:val="both"/>
        <w:rPr>
          <w:rFonts w:ascii="Arial" w:hAnsi="Arial" w:cs="Arial"/>
          <w:sz w:val="20"/>
          <w:szCs w:val="20"/>
        </w:rPr>
      </w:pPr>
      <w:r w:rsidRPr="00D64FD0">
        <w:rPr>
          <w:rFonts w:ascii="Arial" w:hAnsi="Arial" w:cs="Arial"/>
          <w:sz w:val="20"/>
          <w:szCs w:val="20"/>
        </w:rPr>
        <w:lastRenderedPageBreak/>
        <w:t>Une fois la prise en charge de l’IOA complexe définie et v</w:t>
      </w:r>
      <w:r w:rsidR="00AE21B5" w:rsidRPr="00D64FD0">
        <w:rPr>
          <w:rFonts w:ascii="Arial" w:hAnsi="Arial" w:cs="Arial"/>
          <w:sz w:val="20"/>
          <w:szCs w:val="20"/>
        </w:rPr>
        <w:t xml:space="preserve">isée par le centre de référence, ce dernier ou le centre correspondant prenant en charge le patient, pourra bénéficier du financement </w:t>
      </w:r>
      <w:r w:rsidRPr="00D64FD0">
        <w:rPr>
          <w:rFonts w:ascii="Arial" w:hAnsi="Arial" w:cs="Arial"/>
          <w:sz w:val="20"/>
          <w:szCs w:val="20"/>
        </w:rPr>
        <w:t>a</w:t>
      </w:r>
      <w:r w:rsidR="00AE21B5" w:rsidRPr="00D64FD0">
        <w:rPr>
          <w:rFonts w:ascii="Arial" w:hAnsi="Arial" w:cs="Arial"/>
          <w:sz w:val="20"/>
          <w:szCs w:val="20"/>
        </w:rPr>
        <w:t>dapté à la prise en charge de cette IOA complexe en cas de prise en charge chirurgicale (</w:t>
      </w:r>
      <w:r w:rsidRPr="00D64FD0">
        <w:rPr>
          <w:rFonts w:ascii="Arial" w:hAnsi="Arial" w:cs="Arial"/>
          <w:sz w:val="20"/>
          <w:szCs w:val="20"/>
        </w:rPr>
        <w:t xml:space="preserve">GHM d’interventions </w:t>
      </w:r>
      <w:r w:rsidR="00AE21B5" w:rsidRPr="00D64FD0">
        <w:rPr>
          <w:rFonts w:ascii="Arial" w:hAnsi="Arial" w:cs="Arial"/>
          <w:sz w:val="20"/>
          <w:szCs w:val="20"/>
        </w:rPr>
        <w:t>pour infections ostéoarticulaires</w:t>
      </w:r>
      <w:r w:rsidR="00265C66">
        <w:rPr>
          <w:rFonts w:ascii="Arial" w:hAnsi="Arial" w:cs="Arial"/>
          <w:sz w:val="20"/>
          <w:szCs w:val="20"/>
        </w:rPr>
        <w:t xml:space="preserve"> qui donne lieu à la production d’un GHS majoré en cas d’IOA complexe)</w:t>
      </w:r>
      <w:r w:rsidR="00AE21B5" w:rsidRPr="00D64FD0">
        <w:rPr>
          <w:rFonts w:ascii="Arial" w:hAnsi="Arial" w:cs="Arial"/>
          <w:sz w:val="20"/>
          <w:szCs w:val="20"/>
        </w:rPr>
        <w:t xml:space="preserve">. </w:t>
      </w:r>
    </w:p>
    <w:p w:rsidR="00AE21B5" w:rsidRDefault="00B358B9" w:rsidP="004839D0">
      <w:pPr>
        <w:jc w:val="both"/>
        <w:rPr>
          <w:rFonts w:ascii="Arial" w:hAnsi="Arial" w:cs="Arial"/>
          <w:sz w:val="20"/>
          <w:szCs w:val="20"/>
        </w:rPr>
      </w:pPr>
      <w:r w:rsidRPr="00D64FD0">
        <w:rPr>
          <w:rFonts w:ascii="Arial" w:hAnsi="Arial" w:cs="Arial"/>
          <w:sz w:val="20"/>
          <w:szCs w:val="20"/>
        </w:rPr>
        <w:t>En fonction de la densité de population de l’inter</w:t>
      </w:r>
      <w:r w:rsidR="00AE21B5" w:rsidRPr="00D64FD0">
        <w:rPr>
          <w:rFonts w:ascii="Arial" w:hAnsi="Arial" w:cs="Arial"/>
          <w:sz w:val="20"/>
          <w:szCs w:val="20"/>
        </w:rPr>
        <w:t xml:space="preserve">-région, les centres de référence peuvent être amenés à coordonner au maximum deux structures médico-chirurgicales « correspondantes » </w:t>
      </w:r>
      <w:r w:rsidRPr="00D64FD0">
        <w:rPr>
          <w:rFonts w:ascii="Arial" w:hAnsi="Arial" w:cs="Arial"/>
          <w:sz w:val="20"/>
          <w:szCs w:val="20"/>
        </w:rPr>
        <w:t xml:space="preserve">de prise en charge des patients atteints d’IOA complexes, constituant ainsi une </w:t>
      </w:r>
      <w:r w:rsidR="00AE21B5" w:rsidRPr="00D64FD0">
        <w:rPr>
          <w:rFonts w:ascii="Arial" w:hAnsi="Arial" w:cs="Arial"/>
          <w:sz w:val="20"/>
          <w:szCs w:val="20"/>
        </w:rPr>
        <w:t xml:space="preserve">filière de prise en charge optimale du patient. Le dispositif </w:t>
      </w:r>
      <w:r w:rsidR="00265C66">
        <w:rPr>
          <w:rFonts w:ascii="Arial" w:hAnsi="Arial" w:cs="Arial"/>
          <w:sz w:val="20"/>
          <w:szCs w:val="20"/>
        </w:rPr>
        <w:t>a été</w:t>
      </w:r>
      <w:r w:rsidR="00AE21B5" w:rsidRPr="00D64FD0">
        <w:rPr>
          <w:rFonts w:ascii="Arial" w:hAnsi="Arial" w:cs="Arial"/>
          <w:sz w:val="20"/>
          <w:szCs w:val="20"/>
        </w:rPr>
        <w:t xml:space="preserve"> évalué fin 2011 et ajusté en</w:t>
      </w:r>
      <w:r w:rsidRPr="00D64FD0">
        <w:rPr>
          <w:rFonts w:ascii="Arial" w:hAnsi="Arial" w:cs="Arial"/>
          <w:sz w:val="20"/>
          <w:szCs w:val="20"/>
        </w:rPr>
        <w:t xml:space="preserve"> tenant</w:t>
      </w:r>
      <w:r w:rsidR="0071633D">
        <w:rPr>
          <w:rFonts w:ascii="Arial" w:hAnsi="Arial" w:cs="Arial"/>
          <w:sz w:val="20"/>
          <w:szCs w:val="20"/>
        </w:rPr>
        <w:t xml:space="preserve"> compte des critères d’activité</w:t>
      </w:r>
      <w:r w:rsidR="00AE21B5" w:rsidRPr="00D64FD0">
        <w:rPr>
          <w:rFonts w:ascii="Arial" w:hAnsi="Arial" w:cs="Arial"/>
          <w:sz w:val="20"/>
          <w:szCs w:val="20"/>
        </w:rPr>
        <w:t xml:space="preserve"> des centres de référence et des centres correspondants. </w:t>
      </w:r>
    </w:p>
    <w:p w:rsidR="00BC210B" w:rsidRPr="00D64FD0" w:rsidRDefault="00BC210B" w:rsidP="008759C9">
      <w:pPr>
        <w:jc w:val="both"/>
        <w:rPr>
          <w:rFonts w:ascii="Arial" w:hAnsi="Arial" w:cs="Arial"/>
          <w:sz w:val="20"/>
          <w:szCs w:val="20"/>
        </w:rPr>
      </w:pPr>
    </w:p>
    <w:p w:rsidR="00A76EFF" w:rsidRDefault="00A76EFF" w:rsidP="003E25BD">
      <w:pPr>
        <w:pStyle w:val="Paragraphedeliste"/>
        <w:numPr>
          <w:ilvl w:val="0"/>
          <w:numId w:val="5"/>
        </w:numPr>
        <w:jc w:val="both"/>
        <w:outlineLvl w:val="0"/>
        <w:rPr>
          <w:rFonts w:ascii="Arial" w:hAnsi="Arial" w:cs="Arial"/>
          <w:b/>
          <w:color w:val="514B64"/>
          <w:sz w:val="24"/>
          <w:szCs w:val="24"/>
        </w:rPr>
      </w:pPr>
      <w:bookmarkStart w:id="22" w:name="_Toc496603311"/>
      <w:r w:rsidRPr="0071236E">
        <w:rPr>
          <w:rFonts w:ascii="Arial" w:hAnsi="Arial" w:cs="Arial"/>
          <w:b/>
          <w:color w:val="514B64"/>
          <w:sz w:val="24"/>
          <w:szCs w:val="24"/>
        </w:rPr>
        <w:t>Règles de</w:t>
      </w:r>
      <w:r w:rsidR="00E626D3" w:rsidRPr="0071236E">
        <w:rPr>
          <w:rFonts w:ascii="Arial" w:hAnsi="Arial" w:cs="Arial"/>
          <w:b/>
          <w:color w:val="514B64"/>
          <w:sz w:val="24"/>
          <w:szCs w:val="24"/>
        </w:rPr>
        <w:t xml:space="preserve"> codage </w:t>
      </w:r>
      <w:r w:rsidR="00637DF0">
        <w:rPr>
          <w:rFonts w:ascii="Arial" w:hAnsi="Arial" w:cs="Arial"/>
          <w:b/>
          <w:color w:val="514B64"/>
          <w:sz w:val="24"/>
          <w:szCs w:val="24"/>
        </w:rPr>
        <w:t>du</w:t>
      </w:r>
      <w:r w:rsidR="00E626D3" w:rsidRPr="0071236E">
        <w:rPr>
          <w:rFonts w:ascii="Arial" w:hAnsi="Arial" w:cs="Arial"/>
          <w:b/>
          <w:color w:val="514B64"/>
          <w:sz w:val="24"/>
          <w:szCs w:val="24"/>
        </w:rPr>
        <w:t xml:space="preserve"> PMSI </w:t>
      </w:r>
      <w:r w:rsidR="00637DF0">
        <w:rPr>
          <w:rFonts w:ascii="Arial" w:hAnsi="Arial" w:cs="Arial"/>
          <w:b/>
          <w:color w:val="514B64"/>
          <w:sz w:val="24"/>
          <w:szCs w:val="24"/>
        </w:rPr>
        <w:t>et facturation</w:t>
      </w:r>
      <w:bookmarkEnd w:id="22"/>
    </w:p>
    <w:p w:rsidR="008E7385" w:rsidRPr="0071236E" w:rsidRDefault="008E7385" w:rsidP="007843EC">
      <w:pPr>
        <w:pStyle w:val="Paragraphedeliste"/>
        <w:spacing w:line="240" w:lineRule="atLeast"/>
        <w:contextualSpacing w:val="0"/>
        <w:jc w:val="both"/>
        <w:rPr>
          <w:rFonts w:ascii="Arial" w:hAnsi="Arial" w:cs="Arial"/>
          <w:b/>
          <w:color w:val="514B64"/>
          <w:sz w:val="24"/>
          <w:szCs w:val="24"/>
        </w:rPr>
      </w:pPr>
    </w:p>
    <w:p w:rsidR="00AE4BDD" w:rsidRDefault="00BC210B" w:rsidP="008759C9">
      <w:pPr>
        <w:pStyle w:val="Paragraphedeliste"/>
        <w:numPr>
          <w:ilvl w:val="1"/>
          <w:numId w:val="7"/>
        </w:numPr>
        <w:spacing w:line="240" w:lineRule="auto"/>
        <w:jc w:val="both"/>
        <w:outlineLvl w:val="1"/>
        <w:rPr>
          <w:rFonts w:ascii="Arial" w:hAnsi="Arial" w:cs="Arial"/>
          <w:b/>
          <w:color w:val="514B64"/>
        </w:rPr>
      </w:pPr>
      <w:bookmarkStart w:id="23" w:name="_Toc496603312"/>
      <w:r>
        <w:rPr>
          <w:rFonts w:ascii="Arial" w:hAnsi="Arial" w:cs="Arial"/>
          <w:b/>
          <w:color w:val="514B64"/>
        </w:rPr>
        <w:t>Racines et diagnostic</w:t>
      </w:r>
      <w:r w:rsidR="00432AB2">
        <w:rPr>
          <w:rFonts w:ascii="Arial" w:hAnsi="Arial" w:cs="Arial"/>
          <w:b/>
          <w:color w:val="514B64"/>
        </w:rPr>
        <w:t xml:space="preserve"> pour les IOA</w:t>
      </w:r>
      <w:bookmarkEnd w:id="23"/>
      <w:r w:rsidR="00432AB2">
        <w:rPr>
          <w:rFonts w:ascii="Arial" w:hAnsi="Arial" w:cs="Arial"/>
          <w:b/>
          <w:color w:val="514B64"/>
        </w:rPr>
        <w:t xml:space="preserve"> </w:t>
      </w:r>
      <w:r w:rsidR="00D43A83">
        <w:rPr>
          <w:rFonts w:ascii="Arial" w:hAnsi="Arial" w:cs="Arial"/>
          <w:b/>
          <w:color w:val="514B64"/>
        </w:rPr>
        <w:t xml:space="preserve"> </w:t>
      </w:r>
    </w:p>
    <w:p w:rsidR="008759C9" w:rsidRPr="008759C9" w:rsidRDefault="008759C9" w:rsidP="008759C9">
      <w:pPr>
        <w:pStyle w:val="Paragraphedeliste"/>
        <w:spacing w:line="240" w:lineRule="auto"/>
        <w:ind w:left="1440"/>
        <w:jc w:val="both"/>
        <w:outlineLvl w:val="1"/>
        <w:rPr>
          <w:rFonts w:ascii="Arial" w:hAnsi="Arial" w:cs="Arial"/>
          <w:b/>
          <w:color w:val="514B64"/>
        </w:rPr>
      </w:pPr>
    </w:p>
    <w:p w:rsidR="00AE4BDD" w:rsidRDefault="00AE4BDD" w:rsidP="00AE4BDD">
      <w:pPr>
        <w:spacing w:line="240" w:lineRule="auto"/>
        <w:contextualSpacing/>
        <w:rPr>
          <w:rFonts w:ascii="Arial" w:hAnsi="Arial" w:cs="Arial"/>
          <w:sz w:val="20"/>
          <w:szCs w:val="20"/>
        </w:rPr>
      </w:pPr>
      <w:r w:rsidRPr="00AE4BDD">
        <w:rPr>
          <w:rFonts w:ascii="Arial" w:hAnsi="Arial" w:cs="Arial"/>
          <w:sz w:val="20"/>
          <w:szCs w:val="20"/>
        </w:rPr>
        <w:t>Lorsque les séjours pour IOA ont comme diagnostic principal les codes retenus dans les annexes 2 et 3, les séjours peuvent être identifiés de façon précise dans certaines racines de la classification.</w:t>
      </w:r>
    </w:p>
    <w:p w:rsidR="00AE4BDD" w:rsidRPr="00AE4BDD" w:rsidRDefault="00AE4BDD" w:rsidP="004839D0">
      <w:pPr>
        <w:rPr>
          <w:rFonts w:ascii="Arial" w:hAnsi="Arial" w:cs="Arial"/>
          <w:sz w:val="20"/>
          <w:szCs w:val="20"/>
        </w:rPr>
      </w:pPr>
    </w:p>
    <w:p w:rsidR="00A92416" w:rsidRDefault="00A92416" w:rsidP="00D64FD0">
      <w:pPr>
        <w:spacing w:after="0" w:line="240" w:lineRule="auto"/>
        <w:jc w:val="both"/>
        <w:rPr>
          <w:rFonts w:ascii="Arial" w:hAnsi="Arial" w:cs="Arial"/>
          <w:b/>
          <w:color w:val="0084A8"/>
          <w:sz w:val="20"/>
          <w:szCs w:val="20"/>
        </w:rPr>
      </w:pPr>
      <w:r w:rsidRPr="00A92416">
        <w:rPr>
          <w:rFonts w:ascii="Arial" w:hAnsi="Arial" w:cs="Arial"/>
          <w:b/>
          <w:color w:val="0084A8"/>
          <w:sz w:val="20"/>
          <w:szCs w:val="20"/>
        </w:rPr>
        <w:t>Mars 2009</w:t>
      </w:r>
      <w:r>
        <w:rPr>
          <w:rFonts w:ascii="Arial" w:hAnsi="Arial" w:cs="Arial"/>
          <w:b/>
          <w:color w:val="0084A8"/>
          <w:sz w:val="20"/>
          <w:szCs w:val="20"/>
        </w:rPr>
        <w:t xml:space="preserve"> – </w:t>
      </w:r>
      <w:r w:rsidR="00DD34F5">
        <w:rPr>
          <w:rFonts w:ascii="Arial" w:hAnsi="Arial" w:cs="Arial"/>
          <w:b/>
          <w:color w:val="0084A8"/>
          <w:sz w:val="20"/>
          <w:szCs w:val="20"/>
        </w:rPr>
        <w:t>Février</w:t>
      </w:r>
      <w:r>
        <w:rPr>
          <w:rFonts w:ascii="Arial" w:hAnsi="Arial" w:cs="Arial"/>
          <w:b/>
          <w:color w:val="0084A8"/>
          <w:sz w:val="20"/>
          <w:szCs w:val="20"/>
        </w:rPr>
        <w:t xml:space="preserve"> 201</w:t>
      </w:r>
      <w:r w:rsidR="001700F0">
        <w:rPr>
          <w:rFonts w:ascii="Arial" w:hAnsi="Arial" w:cs="Arial"/>
          <w:b/>
          <w:color w:val="0084A8"/>
          <w:sz w:val="20"/>
          <w:szCs w:val="20"/>
        </w:rPr>
        <w:t>1</w:t>
      </w:r>
    </w:p>
    <w:p w:rsidR="00A92416" w:rsidRPr="00A92416" w:rsidRDefault="00A92416" w:rsidP="004839D0">
      <w:pPr>
        <w:spacing w:after="0"/>
        <w:jc w:val="both"/>
        <w:rPr>
          <w:rFonts w:ascii="Arial" w:hAnsi="Arial" w:cs="Arial"/>
          <w:b/>
          <w:color w:val="0084A8"/>
          <w:sz w:val="20"/>
          <w:szCs w:val="20"/>
        </w:rPr>
      </w:pPr>
    </w:p>
    <w:p w:rsidR="00FC5D2A" w:rsidRPr="00D64FD0" w:rsidRDefault="00E626D3" w:rsidP="004839D0">
      <w:pPr>
        <w:spacing w:after="0"/>
        <w:jc w:val="both"/>
        <w:rPr>
          <w:rFonts w:ascii="Arial" w:hAnsi="Arial" w:cs="Arial"/>
          <w:sz w:val="20"/>
          <w:szCs w:val="20"/>
        </w:rPr>
      </w:pPr>
      <w:r w:rsidRPr="00D64FD0">
        <w:rPr>
          <w:rFonts w:ascii="Arial" w:hAnsi="Arial" w:cs="Arial"/>
          <w:sz w:val="20"/>
          <w:szCs w:val="20"/>
        </w:rPr>
        <w:t>L’analyse des séjours IOA dans la version 11</w:t>
      </w:r>
      <w:r w:rsidR="007B2E76" w:rsidRPr="007B2E76">
        <w:rPr>
          <w:rFonts w:ascii="Arial" w:hAnsi="Arial" w:cs="Arial"/>
          <w:sz w:val="20"/>
          <w:szCs w:val="20"/>
        </w:rPr>
        <w:t xml:space="preserve"> </w:t>
      </w:r>
      <w:r w:rsidR="007B2E76" w:rsidRPr="00D64FD0">
        <w:rPr>
          <w:rFonts w:ascii="Arial" w:hAnsi="Arial" w:cs="Arial"/>
          <w:sz w:val="20"/>
          <w:szCs w:val="20"/>
        </w:rPr>
        <w:t>de la classification des GHM</w:t>
      </w:r>
      <w:r w:rsidR="007B2E76">
        <w:rPr>
          <w:rFonts w:ascii="Arial" w:hAnsi="Arial" w:cs="Arial"/>
          <w:sz w:val="20"/>
          <w:szCs w:val="20"/>
        </w:rPr>
        <w:t>, applicable à partir de mars 2009,</w:t>
      </w:r>
      <w:r w:rsidRPr="00D64FD0">
        <w:rPr>
          <w:rFonts w:ascii="Arial" w:hAnsi="Arial" w:cs="Arial"/>
          <w:sz w:val="20"/>
          <w:szCs w:val="20"/>
        </w:rPr>
        <w:t xml:space="preserve"> </w:t>
      </w:r>
      <w:r w:rsidR="00261B79" w:rsidRPr="00D64FD0">
        <w:rPr>
          <w:rFonts w:ascii="Arial" w:hAnsi="Arial" w:cs="Arial"/>
          <w:sz w:val="20"/>
          <w:szCs w:val="20"/>
        </w:rPr>
        <w:t>a</w:t>
      </w:r>
      <w:r w:rsidRPr="00D64FD0">
        <w:rPr>
          <w:rFonts w:ascii="Arial" w:hAnsi="Arial" w:cs="Arial"/>
          <w:sz w:val="20"/>
          <w:szCs w:val="20"/>
        </w:rPr>
        <w:t xml:space="preserve"> conduit à :  </w:t>
      </w:r>
    </w:p>
    <w:p w:rsidR="00BC210B" w:rsidRDefault="00E626D3" w:rsidP="004839D0">
      <w:pPr>
        <w:pStyle w:val="Paragraphedeliste"/>
        <w:numPr>
          <w:ilvl w:val="0"/>
          <w:numId w:val="13"/>
        </w:numPr>
        <w:spacing w:after="0"/>
        <w:contextualSpacing w:val="0"/>
        <w:jc w:val="both"/>
        <w:rPr>
          <w:rFonts w:ascii="Arial" w:hAnsi="Arial" w:cs="Arial"/>
          <w:sz w:val="20"/>
          <w:szCs w:val="20"/>
        </w:rPr>
      </w:pPr>
      <w:r w:rsidRPr="00FC5D2A">
        <w:rPr>
          <w:rFonts w:ascii="Arial" w:hAnsi="Arial" w:cs="Arial"/>
          <w:sz w:val="20"/>
          <w:szCs w:val="20"/>
        </w:rPr>
        <w:t xml:space="preserve">la </w:t>
      </w:r>
      <w:r w:rsidRPr="00223671">
        <w:rPr>
          <w:rFonts w:ascii="Arial" w:hAnsi="Arial" w:cs="Arial"/>
          <w:sz w:val="20"/>
          <w:szCs w:val="20"/>
        </w:rPr>
        <w:t>création d’un</w:t>
      </w:r>
      <w:r w:rsidR="00B66751" w:rsidRPr="00223671">
        <w:rPr>
          <w:rFonts w:ascii="Arial" w:hAnsi="Arial" w:cs="Arial"/>
          <w:sz w:val="20"/>
          <w:szCs w:val="20"/>
        </w:rPr>
        <w:t>e</w:t>
      </w:r>
      <w:r w:rsidR="00B66751" w:rsidRPr="00FC5D2A">
        <w:rPr>
          <w:rFonts w:ascii="Arial" w:hAnsi="Arial" w:cs="Arial"/>
          <w:b/>
          <w:sz w:val="20"/>
          <w:szCs w:val="20"/>
        </w:rPr>
        <w:t xml:space="preserve"> racine</w:t>
      </w:r>
      <w:r w:rsidRPr="00FC5D2A">
        <w:rPr>
          <w:rFonts w:ascii="Arial" w:hAnsi="Arial" w:cs="Arial"/>
          <w:b/>
          <w:sz w:val="20"/>
          <w:szCs w:val="20"/>
        </w:rPr>
        <w:t xml:space="preserve"> chirurgical</w:t>
      </w:r>
      <w:r w:rsidR="002C25B6" w:rsidRPr="00FC5D2A">
        <w:rPr>
          <w:rFonts w:ascii="Arial" w:hAnsi="Arial" w:cs="Arial"/>
          <w:b/>
          <w:sz w:val="20"/>
          <w:szCs w:val="20"/>
        </w:rPr>
        <w:t>e</w:t>
      </w:r>
      <w:r w:rsidRPr="00FC5D2A">
        <w:rPr>
          <w:rFonts w:ascii="Arial" w:hAnsi="Arial" w:cs="Arial"/>
          <w:b/>
          <w:sz w:val="20"/>
          <w:szCs w:val="20"/>
        </w:rPr>
        <w:t xml:space="preserve"> « IOA » 08C56</w:t>
      </w:r>
      <w:r w:rsidR="00FC5D2A" w:rsidRPr="00FC5D2A">
        <w:rPr>
          <w:rFonts w:ascii="Arial" w:hAnsi="Arial" w:cs="Arial"/>
          <w:sz w:val="20"/>
          <w:szCs w:val="20"/>
        </w:rPr>
        <w:t xml:space="preserve">. </w:t>
      </w:r>
    </w:p>
    <w:p w:rsidR="00BC210B" w:rsidRPr="00637DF0" w:rsidRDefault="00BC210B" w:rsidP="004839D0">
      <w:pPr>
        <w:pStyle w:val="Paragraphedeliste"/>
        <w:numPr>
          <w:ilvl w:val="0"/>
          <w:numId w:val="14"/>
        </w:numPr>
        <w:spacing w:after="0"/>
        <w:contextualSpacing w:val="0"/>
        <w:jc w:val="both"/>
        <w:rPr>
          <w:rFonts w:ascii="Arial" w:hAnsi="Arial" w:cs="Arial"/>
          <w:b/>
          <w:sz w:val="20"/>
          <w:szCs w:val="20"/>
        </w:rPr>
      </w:pPr>
      <w:r w:rsidRPr="00637DF0">
        <w:rPr>
          <w:rFonts w:ascii="Arial" w:hAnsi="Arial" w:cs="Arial"/>
          <w:sz w:val="20"/>
          <w:szCs w:val="20"/>
        </w:rPr>
        <w:t xml:space="preserve">la refonte de deux GHM médicaux spécifiques pour distinguer les </w:t>
      </w:r>
      <w:r w:rsidRPr="00637DF0">
        <w:rPr>
          <w:rFonts w:ascii="Arial" w:hAnsi="Arial" w:cs="Arial"/>
          <w:b/>
          <w:sz w:val="20"/>
          <w:szCs w:val="20"/>
        </w:rPr>
        <w:t>affections aiguës / chroniques :</w:t>
      </w:r>
    </w:p>
    <w:p w:rsidR="00BC210B" w:rsidRDefault="00BC210B" w:rsidP="004839D0">
      <w:pPr>
        <w:pStyle w:val="Paragraphedeliste"/>
        <w:numPr>
          <w:ilvl w:val="0"/>
          <w:numId w:val="16"/>
        </w:numPr>
        <w:spacing w:after="0"/>
        <w:ind w:left="1418" w:hanging="284"/>
        <w:contextualSpacing w:val="0"/>
        <w:jc w:val="both"/>
        <w:rPr>
          <w:rFonts w:ascii="Arial" w:hAnsi="Arial" w:cs="Arial"/>
          <w:sz w:val="20"/>
          <w:szCs w:val="20"/>
        </w:rPr>
      </w:pPr>
      <w:r w:rsidRPr="00072EA9">
        <w:rPr>
          <w:rFonts w:ascii="Arial" w:hAnsi="Arial" w:cs="Arial"/>
          <w:b/>
          <w:sz w:val="20"/>
          <w:szCs w:val="20"/>
        </w:rPr>
        <w:t>08M31</w:t>
      </w:r>
      <w:r>
        <w:rPr>
          <w:rFonts w:ascii="Arial" w:hAnsi="Arial" w:cs="Arial"/>
          <w:sz w:val="20"/>
          <w:szCs w:val="20"/>
        </w:rPr>
        <w:t> : Ostéomyélite aigüe (y compris vertébrale) ou arthrite septique,</w:t>
      </w:r>
    </w:p>
    <w:p w:rsidR="00BC210B" w:rsidRDefault="00BC210B" w:rsidP="004839D0">
      <w:pPr>
        <w:pStyle w:val="Paragraphedeliste"/>
        <w:numPr>
          <w:ilvl w:val="0"/>
          <w:numId w:val="16"/>
        </w:numPr>
        <w:spacing w:after="0"/>
        <w:ind w:left="1418" w:hanging="284"/>
        <w:contextualSpacing w:val="0"/>
        <w:jc w:val="both"/>
        <w:rPr>
          <w:rFonts w:ascii="Arial" w:hAnsi="Arial" w:cs="Arial"/>
          <w:sz w:val="20"/>
          <w:szCs w:val="20"/>
        </w:rPr>
      </w:pPr>
      <w:r w:rsidRPr="00072EA9">
        <w:rPr>
          <w:rFonts w:ascii="Arial" w:hAnsi="Arial" w:cs="Arial"/>
          <w:b/>
          <w:sz w:val="20"/>
          <w:szCs w:val="20"/>
        </w:rPr>
        <w:t>08M32</w:t>
      </w:r>
      <w:r>
        <w:rPr>
          <w:rFonts w:ascii="Arial" w:hAnsi="Arial" w:cs="Arial"/>
          <w:sz w:val="20"/>
          <w:szCs w:val="20"/>
        </w:rPr>
        <w:t> : Ostéomyélite chronique</w:t>
      </w:r>
      <w:r w:rsidRPr="00A01B12">
        <w:rPr>
          <w:rFonts w:ascii="Arial" w:hAnsi="Arial" w:cs="Arial"/>
          <w:sz w:val="20"/>
          <w:szCs w:val="20"/>
        </w:rPr>
        <w:t xml:space="preserve">; </w:t>
      </w:r>
    </w:p>
    <w:p w:rsidR="00BC210B" w:rsidRPr="007F4460" w:rsidRDefault="00BC210B" w:rsidP="004839D0">
      <w:pPr>
        <w:spacing w:after="0"/>
        <w:ind w:firstLine="708"/>
        <w:jc w:val="both"/>
        <w:rPr>
          <w:rFonts w:ascii="Arial" w:hAnsi="Arial" w:cs="Arial"/>
          <w:sz w:val="20"/>
          <w:szCs w:val="20"/>
        </w:rPr>
      </w:pPr>
      <w:r>
        <w:rPr>
          <w:rFonts w:ascii="Arial" w:hAnsi="Arial" w:cs="Arial"/>
          <w:sz w:val="20"/>
          <w:szCs w:val="20"/>
        </w:rPr>
        <w:t>Les diagnostics conduisant dans ces deux racines sont disponibles en annexe 3</w:t>
      </w:r>
    </w:p>
    <w:p w:rsidR="00BC210B" w:rsidRPr="00072EA9" w:rsidRDefault="00BC210B" w:rsidP="004839D0">
      <w:pPr>
        <w:pStyle w:val="Paragraphedeliste"/>
        <w:numPr>
          <w:ilvl w:val="0"/>
          <w:numId w:val="15"/>
        </w:numPr>
        <w:spacing w:after="0"/>
        <w:contextualSpacing w:val="0"/>
        <w:jc w:val="both"/>
        <w:rPr>
          <w:rFonts w:ascii="Arial" w:hAnsi="Arial" w:cs="Arial"/>
          <w:sz w:val="20"/>
          <w:szCs w:val="20"/>
        </w:rPr>
      </w:pPr>
      <w:r w:rsidRPr="00637DF0">
        <w:rPr>
          <w:rFonts w:ascii="Arial" w:hAnsi="Arial" w:cs="Arial"/>
          <w:sz w:val="20"/>
          <w:szCs w:val="20"/>
        </w:rPr>
        <w:t>la prise en compte des IOA dans la liste des complications et morbidités associées de niveaux de sévérité les plus élevés.</w:t>
      </w:r>
    </w:p>
    <w:p w:rsidR="00BC210B" w:rsidRDefault="00BC210B" w:rsidP="004839D0">
      <w:pPr>
        <w:pStyle w:val="Paragraphedeliste"/>
        <w:spacing w:after="0"/>
        <w:contextualSpacing w:val="0"/>
        <w:jc w:val="both"/>
        <w:rPr>
          <w:rFonts w:ascii="Arial" w:hAnsi="Arial" w:cs="Arial"/>
          <w:sz w:val="20"/>
          <w:szCs w:val="20"/>
        </w:rPr>
      </w:pPr>
    </w:p>
    <w:p w:rsidR="001700F0" w:rsidRDefault="00FC5D2A" w:rsidP="004839D0">
      <w:pPr>
        <w:spacing w:after="0"/>
        <w:jc w:val="both"/>
        <w:rPr>
          <w:rFonts w:ascii="Arial" w:hAnsi="Arial" w:cs="Arial"/>
          <w:sz w:val="20"/>
          <w:szCs w:val="20"/>
        </w:rPr>
      </w:pPr>
      <w:r w:rsidRPr="00BC210B">
        <w:rPr>
          <w:rFonts w:ascii="Arial" w:hAnsi="Arial" w:cs="Arial"/>
          <w:sz w:val="20"/>
          <w:szCs w:val="20"/>
        </w:rPr>
        <w:t xml:space="preserve">Selon l’arbre de décision de la version 11 de la classification des GHM, un séjour avec un acte opératoire de la CMD 08 et un DP d’Infection ostéoarticulaire </w:t>
      </w:r>
      <w:r w:rsidR="00BD26B6" w:rsidRPr="00BC210B">
        <w:rPr>
          <w:rFonts w:ascii="Arial" w:hAnsi="Arial" w:cs="Arial"/>
          <w:sz w:val="20"/>
          <w:szCs w:val="20"/>
        </w:rPr>
        <w:t xml:space="preserve">(liste des </w:t>
      </w:r>
      <w:r w:rsidR="008E1FEE" w:rsidRPr="00BC210B">
        <w:rPr>
          <w:rFonts w:ascii="Arial" w:hAnsi="Arial" w:cs="Arial"/>
          <w:sz w:val="20"/>
          <w:szCs w:val="20"/>
        </w:rPr>
        <w:t>diagnostics</w:t>
      </w:r>
      <w:r w:rsidR="00BD26B6" w:rsidRPr="00BC210B">
        <w:rPr>
          <w:rFonts w:ascii="Arial" w:hAnsi="Arial" w:cs="Arial"/>
          <w:sz w:val="20"/>
          <w:szCs w:val="20"/>
        </w:rPr>
        <w:t xml:space="preserve"> en annexe </w:t>
      </w:r>
      <w:r w:rsidR="006A2B2A" w:rsidRPr="00BC210B">
        <w:rPr>
          <w:rFonts w:ascii="Arial" w:hAnsi="Arial" w:cs="Arial"/>
          <w:sz w:val="20"/>
          <w:szCs w:val="20"/>
        </w:rPr>
        <w:t>2</w:t>
      </w:r>
      <w:r w:rsidR="00BD26B6" w:rsidRPr="00BC210B">
        <w:rPr>
          <w:rFonts w:ascii="Arial" w:hAnsi="Arial" w:cs="Arial"/>
          <w:sz w:val="20"/>
          <w:szCs w:val="20"/>
        </w:rPr>
        <w:t xml:space="preserve">) </w:t>
      </w:r>
      <w:r w:rsidRPr="00BC210B">
        <w:rPr>
          <w:rFonts w:ascii="Arial" w:hAnsi="Arial" w:cs="Arial"/>
          <w:sz w:val="20"/>
          <w:szCs w:val="20"/>
        </w:rPr>
        <w:t xml:space="preserve">est </w:t>
      </w:r>
      <w:r w:rsidRPr="00BC210B">
        <w:rPr>
          <w:rFonts w:ascii="Arial" w:hAnsi="Arial" w:cs="Arial"/>
          <w:sz w:val="20"/>
          <w:szCs w:val="20"/>
        </w:rPr>
        <w:lastRenderedPageBreak/>
        <w:t xml:space="preserve">groupé dans la racine </w:t>
      </w:r>
      <w:r w:rsidRPr="001765D8">
        <w:rPr>
          <w:rFonts w:ascii="Arial" w:hAnsi="Arial" w:cs="Arial"/>
          <w:sz w:val="20"/>
          <w:szCs w:val="20"/>
        </w:rPr>
        <w:t>08C56</w:t>
      </w:r>
      <w:r w:rsidRPr="00BC210B">
        <w:rPr>
          <w:rFonts w:ascii="Arial" w:hAnsi="Arial" w:cs="Arial"/>
          <w:sz w:val="20"/>
          <w:szCs w:val="20"/>
        </w:rPr>
        <w:t xml:space="preserve">. Cette racine contient 4 niveaux de sévérité. </w:t>
      </w:r>
    </w:p>
    <w:p w:rsidR="003A758F" w:rsidRDefault="003A758F" w:rsidP="004839D0">
      <w:pPr>
        <w:spacing w:after="0"/>
        <w:jc w:val="both"/>
        <w:rPr>
          <w:rFonts w:ascii="Arial" w:hAnsi="Arial" w:cs="Arial"/>
          <w:sz w:val="20"/>
          <w:szCs w:val="20"/>
        </w:rPr>
      </w:pPr>
    </w:p>
    <w:p w:rsidR="001700F0" w:rsidRDefault="001700F0" w:rsidP="004839D0">
      <w:pPr>
        <w:spacing w:after="0"/>
        <w:jc w:val="both"/>
        <w:rPr>
          <w:rFonts w:ascii="Arial" w:hAnsi="Arial" w:cs="Arial"/>
          <w:sz w:val="20"/>
          <w:szCs w:val="20"/>
        </w:rPr>
      </w:pPr>
      <w:r>
        <w:rPr>
          <w:rFonts w:ascii="Arial" w:hAnsi="Arial" w:cs="Arial"/>
          <w:sz w:val="20"/>
          <w:szCs w:val="20"/>
        </w:rPr>
        <w:t>A</w:t>
      </w:r>
      <w:r w:rsidRPr="006359FF">
        <w:rPr>
          <w:rFonts w:ascii="Arial" w:hAnsi="Arial" w:cs="Arial"/>
          <w:sz w:val="20"/>
          <w:szCs w:val="20"/>
        </w:rPr>
        <w:t>ucun diagnostic ne permet d’identifier les patients</w:t>
      </w:r>
      <w:r>
        <w:rPr>
          <w:rFonts w:ascii="Arial" w:hAnsi="Arial" w:cs="Arial"/>
          <w:sz w:val="20"/>
          <w:szCs w:val="20"/>
        </w:rPr>
        <w:t xml:space="preserve"> pris</w:t>
      </w:r>
      <w:r w:rsidRPr="006359FF">
        <w:rPr>
          <w:rFonts w:ascii="Arial" w:hAnsi="Arial" w:cs="Arial"/>
          <w:sz w:val="20"/>
          <w:szCs w:val="20"/>
        </w:rPr>
        <w:t xml:space="preserve"> en charge </w:t>
      </w:r>
      <w:r>
        <w:rPr>
          <w:rFonts w:ascii="Arial" w:hAnsi="Arial" w:cs="Arial"/>
          <w:sz w:val="20"/>
          <w:szCs w:val="20"/>
        </w:rPr>
        <w:t>pour une</w:t>
      </w:r>
      <w:r w:rsidRPr="006359FF">
        <w:rPr>
          <w:rFonts w:ascii="Arial" w:hAnsi="Arial" w:cs="Arial"/>
          <w:sz w:val="20"/>
          <w:szCs w:val="20"/>
        </w:rPr>
        <w:t xml:space="preserve"> IOA qualifiée de « complexe ». Il est seulement possible de savoir si le patient a été pris en charge par un centre </w:t>
      </w:r>
      <w:r>
        <w:rPr>
          <w:rFonts w:ascii="Arial" w:hAnsi="Arial" w:cs="Arial"/>
          <w:sz w:val="20"/>
          <w:szCs w:val="20"/>
        </w:rPr>
        <w:t>doté du</w:t>
      </w:r>
      <w:r w:rsidRPr="006359FF">
        <w:rPr>
          <w:rFonts w:ascii="Arial" w:hAnsi="Arial" w:cs="Arial"/>
          <w:sz w:val="20"/>
          <w:szCs w:val="20"/>
        </w:rPr>
        <w:t xml:space="preserve"> type d’autorisation de l’Unité Médicale </w:t>
      </w:r>
      <w:r>
        <w:rPr>
          <w:rFonts w:ascii="Arial" w:hAnsi="Arial" w:cs="Arial"/>
          <w:sz w:val="20"/>
          <w:szCs w:val="20"/>
        </w:rPr>
        <w:t xml:space="preserve">« 30 » </w:t>
      </w:r>
      <w:r w:rsidRPr="00357F7B">
        <w:rPr>
          <w:rFonts w:ascii="Arial" w:hAnsi="Arial" w:cs="Arial"/>
          <w:i/>
          <w:sz w:val="20"/>
          <w:szCs w:val="20"/>
        </w:rPr>
        <w:t>Centre identifié pour la prise en charge des infections ostéoarticulaires</w:t>
      </w:r>
      <w:r w:rsidRPr="006359FF">
        <w:rPr>
          <w:rFonts w:ascii="Arial" w:hAnsi="Arial" w:cs="Arial"/>
          <w:sz w:val="20"/>
          <w:szCs w:val="20"/>
        </w:rPr>
        <w:t>.</w:t>
      </w:r>
    </w:p>
    <w:p w:rsidR="00B8266A" w:rsidRDefault="00B8266A" w:rsidP="004839D0">
      <w:pPr>
        <w:spacing w:after="240"/>
        <w:jc w:val="both"/>
        <w:rPr>
          <w:rFonts w:ascii="Arial" w:hAnsi="Arial" w:cs="Arial"/>
          <w:sz w:val="20"/>
          <w:szCs w:val="20"/>
        </w:rPr>
      </w:pPr>
    </w:p>
    <w:p w:rsidR="001700F0" w:rsidRPr="001700F0" w:rsidRDefault="001700F0" w:rsidP="004839D0">
      <w:pPr>
        <w:spacing w:after="0"/>
        <w:jc w:val="both"/>
        <w:rPr>
          <w:rFonts w:ascii="Arial" w:hAnsi="Arial" w:cs="Arial"/>
          <w:b/>
          <w:color w:val="0084A8"/>
          <w:sz w:val="20"/>
          <w:szCs w:val="20"/>
        </w:rPr>
      </w:pPr>
      <w:r w:rsidRPr="001700F0">
        <w:rPr>
          <w:rFonts w:ascii="Arial" w:hAnsi="Arial" w:cs="Arial"/>
          <w:b/>
          <w:color w:val="0084A8"/>
          <w:sz w:val="20"/>
          <w:szCs w:val="20"/>
        </w:rPr>
        <w:t xml:space="preserve">Mars 2011 – </w:t>
      </w:r>
      <w:r w:rsidR="00DD34F5">
        <w:rPr>
          <w:rFonts w:ascii="Arial" w:hAnsi="Arial" w:cs="Arial"/>
          <w:b/>
          <w:color w:val="0084A8"/>
          <w:sz w:val="20"/>
          <w:szCs w:val="20"/>
        </w:rPr>
        <w:t>Février</w:t>
      </w:r>
      <w:r w:rsidRPr="001700F0">
        <w:rPr>
          <w:rFonts w:ascii="Arial" w:hAnsi="Arial" w:cs="Arial"/>
          <w:b/>
          <w:color w:val="0084A8"/>
          <w:sz w:val="20"/>
          <w:szCs w:val="20"/>
        </w:rPr>
        <w:t xml:space="preserve"> 2015</w:t>
      </w:r>
    </w:p>
    <w:p w:rsidR="001700F0" w:rsidRDefault="001700F0" w:rsidP="004839D0">
      <w:pPr>
        <w:spacing w:after="0"/>
        <w:jc w:val="both"/>
        <w:rPr>
          <w:rFonts w:ascii="Arial" w:hAnsi="Arial" w:cs="Arial"/>
          <w:sz w:val="20"/>
          <w:szCs w:val="20"/>
        </w:rPr>
      </w:pPr>
    </w:p>
    <w:p w:rsidR="00233F3D" w:rsidRPr="00D64FD0" w:rsidRDefault="00233F3D" w:rsidP="004839D0">
      <w:pPr>
        <w:spacing w:after="0"/>
        <w:jc w:val="both"/>
        <w:rPr>
          <w:rFonts w:ascii="Arial" w:hAnsi="Arial" w:cs="Arial"/>
          <w:sz w:val="20"/>
          <w:szCs w:val="20"/>
        </w:rPr>
      </w:pPr>
      <w:r w:rsidRPr="00644350">
        <w:rPr>
          <w:rFonts w:ascii="Arial" w:hAnsi="Arial" w:cs="Arial"/>
          <w:sz w:val="20"/>
          <w:szCs w:val="20"/>
        </w:rPr>
        <w:t>A partir de mars 2011 (v11c),</w:t>
      </w:r>
      <w:r>
        <w:rPr>
          <w:rFonts w:ascii="Arial" w:hAnsi="Arial" w:cs="Arial"/>
          <w:sz w:val="20"/>
          <w:szCs w:val="20"/>
        </w:rPr>
        <w:t xml:space="preserve"> a</w:t>
      </w:r>
      <w:r w:rsidRPr="00D64FD0">
        <w:rPr>
          <w:rFonts w:ascii="Arial" w:hAnsi="Arial" w:cs="Arial"/>
          <w:sz w:val="20"/>
          <w:szCs w:val="20"/>
        </w:rPr>
        <w:t xml:space="preserve">fin de </w:t>
      </w:r>
      <w:r w:rsidRPr="007B2E76">
        <w:rPr>
          <w:rFonts w:ascii="Arial" w:hAnsi="Arial" w:cs="Arial"/>
          <w:sz w:val="20"/>
          <w:szCs w:val="20"/>
        </w:rPr>
        <w:t>permettre l’identification des patients ayant recours à un centre reconnu</w:t>
      </w:r>
      <w:r w:rsidRPr="00D64FD0">
        <w:rPr>
          <w:rFonts w:ascii="Arial" w:hAnsi="Arial" w:cs="Arial"/>
          <w:sz w:val="20"/>
          <w:szCs w:val="20"/>
        </w:rPr>
        <w:t xml:space="preserve"> pour la prise en charge de patients atteints d’une </w:t>
      </w:r>
      <w:r>
        <w:rPr>
          <w:rFonts w:ascii="Arial" w:hAnsi="Arial" w:cs="Arial"/>
          <w:b/>
          <w:sz w:val="20"/>
          <w:szCs w:val="20"/>
        </w:rPr>
        <w:t xml:space="preserve">IOA qualifiée </w:t>
      </w:r>
      <w:r w:rsidRPr="007B2E76">
        <w:rPr>
          <w:rFonts w:ascii="Arial" w:hAnsi="Arial" w:cs="Arial"/>
          <w:b/>
          <w:sz w:val="20"/>
          <w:szCs w:val="20"/>
        </w:rPr>
        <w:t>de « complexe »,</w:t>
      </w:r>
      <w:r w:rsidRPr="00D64FD0">
        <w:rPr>
          <w:rFonts w:ascii="Arial" w:hAnsi="Arial" w:cs="Arial"/>
          <w:sz w:val="20"/>
          <w:szCs w:val="20"/>
        </w:rPr>
        <w:t xml:space="preserve"> l’ATIH a créé une extension spécifique au code Z76.8 de la CIM-10 (Sujet ayant recours aux services de santé dans d'autres circonstances précisées) </w:t>
      </w:r>
      <w:r w:rsidRPr="00D64FD0">
        <w:rPr>
          <w:rFonts w:ascii="Arial" w:hAnsi="Arial" w:cs="Arial"/>
          <w:b/>
          <w:sz w:val="20"/>
          <w:szCs w:val="20"/>
        </w:rPr>
        <w:t xml:space="preserve">: Z76.800 </w:t>
      </w:r>
      <w:r w:rsidRPr="002308ED">
        <w:rPr>
          <w:rFonts w:ascii="Arial" w:hAnsi="Arial" w:cs="Arial"/>
          <w:i/>
          <w:sz w:val="20"/>
          <w:szCs w:val="20"/>
        </w:rPr>
        <w:t>Sujet ayant recours aux services de santé après une réunion de concertation pluridisciplinaire [RCP] ayant établi la complexité d'une infection ostéoarticulaire</w:t>
      </w:r>
      <w:r w:rsidRPr="00D64FD0">
        <w:rPr>
          <w:rFonts w:ascii="Arial" w:hAnsi="Arial" w:cs="Arial"/>
          <w:sz w:val="20"/>
          <w:szCs w:val="20"/>
        </w:rPr>
        <w:t xml:space="preserve">.  </w:t>
      </w:r>
    </w:p>
    <w:p w:rsidR="00233F3D" w:rsidRPr="00D64FD0" w:rsidRDefault="00233F3D" w:rsidP="004839D0">
      <w:pPr>
        <w:spacing w:after="0"/>
        <w:jc w:val="both"/>
        <w:rPr>
          <w:rFonts w:ascii="Arial" w:hAnsi="Arial" w:cs="Arial"/>
          <w:sz w:val="20"/>
          <w:szCs w:val="20"/>
        </w:rPr>
      </w:pPr>
      <w:r w:rsidRPr="00D64FD0">
        <w:rPr>
          <w:rFonts w:ascii="Arial" w:hAnsi="Arial" w:cs="Arial"/>
          <w:sz w:val="20"/>
          <w:szCs w:val="20"/>
        </w:rPr>
        <w:t xml:space="preserve"> </w:t>
      </w:r>
    </w:p>
    <w:p w:rsidR="00233F3D" w:rsidRPr="00DE5190" w:rsidRDefault="00233F3D" w:rsidP="004839D0">
      <w:pPr>
        <w:spacing w:after="0"/>
        <w:jc w:val="both"/>
        <w:rPr>
          <w:rFonts w:ascii="Arial" w:hAnsi="Arial" w:cs="Arial"/>
          <w:sz w:val="20"/>
          <w:szCs w:val="20"/>
        </w:rPr>
      </w:pPr>
      <w:r w:rsidRPr="00D64FD0">
        <w:rPr>
          <w:rFonts w:ascii="Arial" w:hAnsi="Arial" w:cs="Arial"/>
          <w:sz w:val="20"/>
          <w:szCs w:val="20"/>
        </w:rPr>
        <w:t xml:space="preserve">Le code diagnostique Z76.800 doit être inscrit en </w:t>
      </w:r>
      <w:r w:rsidRPr="00D64FD0">
        <w:rPr>
          <w:rFonts w:ascii="Arial" w:hAnsi="Arial" w:cs="Arial"/>
          <w:b/>
          <w:sz w:val="20"/>
          <w:szCs w:val="20"/>
        </w:rPr>
        <w:t>diagnostic associé</w:t>
      </w:r>
      <w:r w:rsidRPr="00D64FD0">
        <w:rPr>
          <w:rFonts w:ascii="Arial" w:hAnsi="Arial" w:cs="Arial"/>
          <w:sz w:val="20"/>
          <w:szCs w:val="20"/>
        </w:rPr>
        <w:t xml:space="preserve"> dans le RSS du patient hospitalisé pour la prise en charge de son IOA </w:t>
      </w:r>
      <w:r w:rsidRPr="00DE5190">
        <w:rPr>
          <w:rFonts w:ascii="Arial" w:hAnsi="Arial" w:cs="Arial"/>
          <w:sz w:val="20"/>
          <w:szCs w:val="20"/>
        </w:rPr>
        <w:t xml:space="preserve">dès lors que ce dernier aura fait l’objet d’une concertation pluridisciplinaire dans un centre de référence identifié ayant établi le caractère complexe de l’IOA. </w:t>
      </w:r>
    </w:p>
    <w:p w:rsidR="00233F3D" w:rsidRPr="00D64FD0" w:rsidRDefault="00233F3D" w:rsidP="004839D0">
      <w:pPr>
        <w:spacing w:after="0"/>
        <w:jc w:val="both"/>
        <w:rPr>
          <w:rFonts w:ascii="Arial" w:hAnsi="Arial" w:cs="Arial"/>
          <w:sz w:val="20"/>
          <w:szCs w:val="20"/>
        </w:rPr>
      </w:pPr>
    </w:p>
    <w:p w:rsidR="00233F3D" w:rsidRDefault="00233F3D" w:rsidP="004839D0">
      <w:pPr>
        <w:spacing w:after="0"/>
        <w:jc w:val="both"/>
        <w:rPr>
          <w:rFonts w:ascii="Arial" w:hAnsi="Arial" w:cs="Arial"/>
          <w:sz w:val="20"/>
          <w:szCs w:val="20"/>
        </w:rPr>
      </w:pPr>
      <w:r w:rsidRPr="00D64FD0">
        <w:rPr>
          <w:rFonts w:ascii="Arial" w:hAnsi="Arial" w:cs="Arial"/>
          <w:sz w:val="20"/>
          <w:szCs w:val="20"/>
        </w:rPr>
        <w:t xml:space="preserve">Il convient de noter que, même si une seule RCP est réalisée par patient, le code doit être porté dans les RSS de tous les séjours ultérieurs du patient </w:t>
      </w:r>
      <w:r w:rsidRPr="00644350">
        <w:rPr>
          <w:rFonts w:ascii="Arial" w:hAnsi="Arial" w:cs="Arial"/>
          <w:sz w:val="20"/>
          <w:szCs w:val="20"/>
        </w:rPr>
        <w:t>motivés par la prise en charge de cette IOA complexe découlant de cette RCP.</w:t>
      </w:r>
    </w:p>
    <w:p w:rsidR="001700F0" w:rsidRDefault="001700F0" w:rsidP="004839D0">
      <w:pPr>
        <w:spacing w:after="240"/>
        <w:jc w:val="both"/>
        <w:rPr>
          <w:rFonts w:ascii="Arial" w:hAnsi="Arial" w:cs="Arial"/>
          <w:sz w:val="20"/>
          <w:szCs w:val="20"/>
        </w:rPr>
      </w:pPr>
    </w:p>
    <w:p w:rsidR="00B8266A" w:rsidRDefault="00B8266A" w:rsidP="004839D0">
      <w:pPr>
        <w:spacing w:after="0"/>
        <w:jc w:val="both"/>
        <w:rPr>
          <w:rFonts w:ascii="Arial" w:hAnsi="Arial" w:cs="Arial"/>
          <w:b/>
          <w:color w:val="0084A8"/>
          <w:sz w:val="20"/>
          <w:szCs w:val="20"/>
        </w:rPr>
      </w:pPr>
      <w:r>
        <w:rPr>
          <w:rFonts w:ascii="Arial" w:hAnsi="Arial" w:cs="Arial"/>
          <w:b/>
          <w:color w:val="0084A8"/>
          <w:sz w:val="20"/>
          <w:szCs w:val="20"/>
        </w:rPr>
        <w:t>A partir de Mars 2015</w:t>
      </w:r>
    </w:p>
    <w:p w:rsidR="00602194" w:rsidRPr="007F4460" w:rsidRDefault="00602194" w:rsidP="004839D0">
      <w:pPr>
        <w:spacing w:after="0"/>
        <w:jc w:val="both"/>
        <w:rPr>
          <w:rFonts w:ascii="Arial" w:hAnsi="Arial" w:cs="Arial"/>
          <w:sz w:val="20"/>
          <w:szCs w:val="20"/>
        </w:rPr>
      </w:pPr>
    </w:p>
    <w:p w:rsidR="00B8266A" w:rsidRDefault="0083518B" w:rsidP="004839D0">
      <w:pPr>
        <w:spacing w:after="0"/>
        <w:jc w:val="both"/>
        <w:rPr>
          <w:rFonts w:ascii="Arial" w:hAnsi="Arial" w:cs="Arial"/>
          <w:sz w:val="20"/>
          <w:szCs w:val="20"/>
        </w:rPr>
      </w:pPr>
      <w:r w:rsidRPr="0083518B">
        <w:rPr>
          <w:rFonts w:ascii="Arial" w:hAnsi="Arial" w:cs="Arial"/>
          <w:sz w:val="20"/>
          <w:szCs w:val="20"/>
        </w:rPr>
        <w:t xml:space="preserve">La racine 08C56 </w:t>
      </w:r>
      <w:r>
        <w:rPr>
          <w:rFonts w:ascii="Arial" w:hAnsi="Arial" w:cs="Arial"/>
          <w:sz w:val="20"/>
          <w:szCs w:val="20"/>
        </w:rPr>
        <w:t>était</w:t>
      </w:r>
      <w:r w:rsidRPr="0083518B">
        <w:rPr>
          <w:rFonts w:ascii="Arial" w:hAnsi="Arial" w:cs="Arial"/>
          <w:sz w:val="20"/>
          <w:szCs w:val="20"/>
        </w:rPr>
        <w:t xml:space="preserve"> hétérogène par c</w:t>
      </w:r>
      <w:r>
        <w:rPr>
          <w:rFonts w:ascii="Arial" w:hAnsi="Arial" w:cs="Arial"/>
          <w:sz w:val="20"/>
          <w:szCs w:val="20"/>
        </w:rPr>
        <w:t>onstruction puisqu’elle regroupait</w:t>
      </w:r>
      <w:r w:rsidRPr="0083518B">
        <w:rPr>
          <w:rFonts w:ascii="Arial" w:hAnsi="Arial" w:cs="Arial"/>
          <w:sz w:val="20"/>
          <w:szCs w:val="20"/>
        </w:rPr>
        <w:t xml:space="preserve"> tous les séjours avec un acte classant opératoire de la CMD 08 et une infection ostéoarticulaire en DP. De fait, la localisation et donc l’importance de l’atteinte ainsi que la lourdeur d</w:t>
      </w:r>
      <w:r>
        <w:rPr>
          <w:rFonts w:ascii="Arial" w:hAnsi="Arial" w:cs="Arial"/>
          <w:sz w:val="20"/>
          <w:szCs w:val="20"/>
        </w:rPr>
        <w:t>e la prise en charge étaient mal</w:t>
      </w:r>
      <w:r w:rsidRPr="0083518B">
        <w:rPr>
          <w:rFonts w:ascii="Arial" w:hAnsi="Arial" w:cs="Arial"/>
          <w:sz w:val="20"/>
          <w:szCs w:val="20"/>
        </w:rPr>
        <w:t xml:space="preserve"> </w:t>
      </w:r>
      <w:r w:rsidR="00602194">
        <w:rPr>
          <w:rFonts w:ascii="Arial" w:hAnsi="Arial" w:cs="Arial"/>
          <w:sz w:val="20"/>
          <w:szCs w:val="20"/>
        </w:rPr>
        <w:t>p</w:t>
      </w:r>
      <w:r w:rsidRPr="0083518B">
        <w:rPr>
          <w:rFonts w:ascii="Arial" w:hAnsi="Arial" w:cs="Arial"/>
          <w:sz w:val="20"/>
          <w:szCs w:val="20"/>
        </w:rPr>
        <w:t xml:space="preserve">ris en compte dans la classification. </w:t>
      </w:r>
    </w:p>
    <w:p w:rsidR="00B8266A" w:rsidRDefault="00B8266A" w:rsidP="004839D0">
      <w:pPr>
        <w:spacing w:after="0"/>
        <w:jc w:val="both"/>
        <w:rPr>
          <w:rFonts w:ascii="Arial" w:hAnsi="Arial" w:cs="Arial"/>
          <w:sz w:val="20"/>
          <w:szCs w:val="20"/>
        </w:rPr>
      </w:pPr>
    </w:p>
    <w:p w:rsidR="0083518B" w:rsidRPr="0083518B" w:rsidRDefault="0083518B" w:rsidP="004839D0">
      <w:pPr>
        <w:spacing w:after="0"/>
        <w:jc w:val="both"/>
        <w:rPr>
          <w:rFonts w:ascii="Arial" w:hAnsi="Arial" w:cs="Arial"/>
          <w:sz w:val="20"/>
          <w:szCs w:val="20"/>
        </w:rPr>
      </w:pPr>
      <w:r w:rsidRPr="008D169A">
        <w:rPr>
          <w:rFonts w:ascii="Arial" w:hAnsi="Arial" w:cs="Arial"/>
          <w:b/>
          <w:sz w:val="20"/>
          <w:szCs w:val="20"/>
        </w:rPr>
        <w:t>À partir de la campagne 2015</w:t>
      </w:r>
      <w:r w:rsidRPr="0083518B">
        <w:rPr>
          <w:rFonts w:ascii="Arial" w:hAnsi="Arial" w:cs="Arial"/>
          <w:sz w:val="20"/>
          <w:szCs w:val="20"/>
        </w:rPr>
        <w:t xml:space="preserve">, afin de mieux discriminer ces différentes prises en charge, la racine 08C56 </w:t>
      </w:r>
      <w:r>
        <w:rPr>
          <w:rFonts w:ascii="Arial" w:hAnsi="Arial" w:cs="Arial"/>
          <w:sz w:val="20"/>
          <w:szCs w:val="20"/>
        </w:rPr>
        <w:t>a été</w:t>
      </w:r>
      <w:r w:rsidRPr="0083518B">
        <w:rPr>
          <w:rFonts w:ascii="Arial" w:hAnsi="Arial" w:cs="Arial"/>
          <w:sz w:val="20"/>
          <w:szCs w:val="20"/>
        </w:rPr>
        <w:t xml:space="preserve"> supprimée et remplacée par 2 racines en fonction de la lourdeur des actes (DMS et ICR) applicable à partir de la version V11g des GHM:</w:t>
      </w:r>
    </w:p>
    <w:p w:rsidR="0083518B" w:rsidRPr="00B559FB" w:rsidRDefault="0083518B" w:rsidP="004839D0">
      <w:pPr>
        <w:pStyle w:val="Paragraphedeliste"/>
        <w:numPr>
          <w:ilvl w:val="2"/>
          <w:numId w:val="22"/>
        </w:numPr>
        <w:spacing w:after="0"/>
        <w:ind w:left="709"/>
        <w:contextualSpacing w:val="0"/>
        <w:jc w:val="both"/>
        <w:rPr>
          <w:rFonts w:ascii="Arial" w:hAnsi="Arial" w:cs="Arial"/>
          <w:b/>
          <w:sz w:val="20"/>
          <w:szCs w:val="20"/>
        </w:rPr>
      </w:pPr>
      <w:r w:rsidRPr="00B559FB">
        <w:rPr>
          <w:rFonts w:ascii="Arial" w:hAnsi="Arial" w:cs="Arial"/>
          <w:b/>
          <w:sz w:val="20"/>
          <w:szCs w:val="20"/>
        </w:rPr>
        <w:t xml:space="preserve">08C61 </w:t>
      </w:r>
      <w:r w:rsidRPr="00223671">
        <w:rPr>
          <w:rFonts w:ascii="Arial" w:hAnsi="Arial" w:cs="Arial"/>
          <w:sz w:val="20"/>
          <w:szCs w:val="20"/>
        </w:rPr>
        <w:t>Intervention majeures pour infections ostéoarticulaires</w:t>
      </w:r>
    </w:p>
    <w:p w:rsidR="0083518B" w:rsidRPr="00B559FB" w:rsidRDefault="0083518B" w:rsidP="004839D0">
      <w:pPr>
        <w:pStyle w:val="Paragraphedeliste"/>
        <w:numPr>
          <w:ilvl w:val="2"/>
          <w:numId w:val="22"/>
        </w:numPr>
        <w:spacing w:after="0"/>
        <w:ind w:left="709"/>
        <w:contextualSpacing w:val="0"/>
        <w:jc w:val="both"/>
        <w:rPr>
          <w:rFonts w:ascii="Arial" w:hAnsi="Arial" w:cs="Arial"/>
          <w:b/>
          <w:sz w:val="20"/>
          <w:szCs w:val="20"/>
        </w:rPr>
      </w:pPr>
      <w:r w:rsidRPr="00B559FB">
        <w:rPr>
          <w:rFonts w:ascii="Arial" w:hAnsi="Arial" w:cs="Arial"/>
          <w:b/>
          <w:sz w:val="20"/>
          <w:szCs w:val="20"/>
        </w:rPr>
        <w:t xml:space="preserve">08C62 </w:t>
      </w:r>
      <w:r w:rsidRPr="00223671">
        <w:rPr>
          <w:rFonts w:ascii="Arial" w:hAnsi="Arial" w:cs="Arial"/>
          <w:sz w:val="20"/>
          <w:szCs w:val="20"/>
        </w:rPr>
        <w:t>Autres interventions pour infections ostéoarticulaires</w:t>
      </w:r>
    </w:p>
    <w:p w:rsidR="0083518B" w:rsidRDefault="0083518B" w:rsidP="004839D0">
      <w:pPr>
        <w:spacing w:after="0"/>
        <w:jc w:val="both"/>
        <w:rPr>
          <w:rFonts w:ascii="Arial" w:hAnsi="Arial" w:cs="Arial"/>
          <w:sz w:val="20"/>
          <w:szCs w:val="20"/>
        </w:rPr>
      </w:pPr>
      <w:r>
        <w:rPr>
          <w:rFonts w:ascii="Arial" w:hAnsi="Arial" w:cs="Arial"/>
          <w:sz w:val="20"/>
          <w:szCs w:val="20"/>
        </w:rPr>
        <w:t xml:space="preserve">Ces racines ont toutes les deux 4 niveaux de sévérité. La racine 08C62 possède un GHM en J qui permet d’identifier les prises en </w:t>
      </w:r>
      <w:r>
        <w:rPr>
          <w:rFonts w:ascii="Arial" w:hAnsi="Arial" w:cs="Arial"/>
          <w:sz w:val="20"/>
          <w:szCs w:val="20"/>
        </w:rPr>
        <w:lastRenderedPageBreak/>
        <w:t xml:space="preserve">charge en ambulatoire. Les deux racines sont associées à deux tarifs selon que l’IOA est complexe ou non. Le caractère complexe est identifié par la présence du code </w:t>
      </w:r>
      <w:r w:rsidRPr="002308ED">
        <w:rPr>
          <w:rFonts w:ascii="Arial" w:hAnsi="Arial" w:cs="Arial"/>
          <w:b/>
          <w:sz w:val="20"/>
          <w:szCs w:val="20"/>
        </w:rPr>
        <w:t>Z76.800</w:t>
      </w:r>
      <w:r w:rsidRPr="002308ED">
        <w:rPr>
          <w:rStyle w:val="Appelnotedebasdep"/>
          <w:rFonts w:ascii="Arial" w:hAnsi="Arial" w:cs="Arial"/>
          <w:b/>
          <w:sz w:val="20"/>
          <w:szCs w:val="20"/>
        </w:rPr>
        <w:footnoteReference w:id="2"/>
      </w:r>
      <w:r>
        <w:rPr>
          <w:rFonts w:ascii="Arial" w:hAnsi="Arial" w:cs="Arial"/>
          <w:i/>
          <w:sz w:val="20"/>
          <w:szCs w:val="20"/>
        </w:rPr>
        <w:t xml:space="preserve"> </w:t>
      </w:r>
      <w:r w:rsidRPr="007F4460">
        <w:rPr>
          <w:rFonts w:ascii="Arial" w:hAnsi="Arial" w:cs="Arial"/>
          <w:sz w:val="20"/>
          <w:szCs w:val="20"/>
        </w:rPr>
        <w:t xml:space="preserve">en </w:t>
      </w:r>
      <w:r w:rsidRPr="0083518B">
        <w:rPr>
          <w:rFonts w:ascii="Arial" w:hAnsi="Arial" w:cs="Arial"/>
          <w:sz w:val="20"/>
          <w:szCs w:val="20"/>
        </w:rPr>
        <w:t>d</w:t>
      </w:r>
      <w:r>
        <w:rPr>
          <w:rFonts w:ascii="Arial" w:hAnsi="Arial" w:cs="Arial"/>
          <w:sz w:val="20"/>
          <w:szCs w:val="20"/>
        </w:rPr>
        <w:t>iagnostic associé</w:t>
      </w:r>
      <w:r w:rsidR="00602194">
        <w:rPr>
          <w:rFonts w:ascii="Arial" w:hAnsi="Arial" w:cs="Arial"/>
          <w:sz w:val="20"/>
          <w:szCs w:val="20"/>
        </w:rPr>
        <w:t>.</w:t>
      </w:r>
    </w:p>
    <w:p w:rsidR="00697CD7" w:rsidRDefault="00697CD7" w:rsidP="004839D0">
      <w:pPr>
        <w:spacing w:after="240"/>
        <w:jc w:val="both"/>
        <w:rPr>
          <w:rFonts w:ascii="Arial" w:hAnsi="Arial" w:cs="Arial"/>
          <w:sz w:val="20"/>
          <w:szCs w:val="20"/>
        </w:rPr>
      </w:pPr>
    </w:p>
    <w:p w:rsidR="00052525" w:rsidRDefault="00052525" w:rsidP="004839D0">
      <w:pPr>
        <w:pStyle w:val="Paragraphedeliste"/>
        <w:numPr>
          <w:ilvl w:val="1"/>
          <w:numId w:val="7"/>
        </w:numPr>
        <w:spacing w:after="0"/>
        <w:contextualSpacing w:val="0"/>
        <w:jc w:val="both"/>
        <w:outlineLvl w:val="1"/>
        <w:rPr>
          <w:rFonts w:ascii="Arial" w:hAnsi="Arial" w:cs="Arial"/>
          <w:b/>
          <w:color w:val="514B64"/>
        </w:rPr>
      </w:pPr>
      <w:bookmarkStart w:id="24" w:name="_Toc496603313"/>
      <w:r>
        <w:rPr>
          <w:rFonts w:ascii="Arial" w:hAnsi="Arial" w:cs="Arial"/>
          <w:b/>
          <w:color w:val="514B64"/>
        </w:rPr>
        <w:t>Les centres de référence et correspondants</w:t>
      </w:r>
      <w:bookmarkEnd w:id="24"/>
    </w:p>
    <w:p w:rsidR="00345A10" w:rsidRPr="00345A10" w:rsidRDefault="00345A10" w:rsidP="00345A10">
      <w:pPr>
        <w:spacing w:after="0"/>
        <w:ind w:left="1080"/>
        <w:jc w:val="both"/>
        <w:outlineLvl w:val="1"/>
        <w:rPr>
          <w:rFonts w:ascii="Arial" w:hAnsi="Arial" w:cs="Arial"/>
          <w:b/>
          <w:color w:val="514B64"/>
        </w:rPr>
      </w:pPr>
    </w:p>
    <w:p w:rsidR="00AE4BDD" w:rsidRDefault="00052525" w:rsidP="004839D0">
      <w:pPr>
        <w:spacing w:after="0"/>
        <w:jc w:val="both"/>
        <w:rPr>
          <w:rFonts w:ascii="Arial" w:hAnsi="Arial" w:cs="Arial"/>
          <w:i/>
          <w:sz w:val="20"/>
          <w:szCs w:val="20"/>
        </w:rPr>
      </w:pPr>
      <w:r>
        <w:rPr>
          <w:rFonts w:ascii="Arial" w:hAnsi="Arial" w:cs="Arial"/>
          <w:sz w:val="20"/>
          <w:szCs w:val="20"/>
        </w:rPr>
        <w:t>Les centres de référence « IOA » ont obligatoirement une autorisation d’unité médicale de type « 30</w:t>
      </w:r>
      <w:r w:rsidR="00357F7B">
        <w:rPr>
          <w:rFonts w:ascii="Arial" w:hAnsi="Arial" w:cs="Arial"/>
          <w:sz w:val="20"/>
          <w:szCs w:val="20"/>
        </w:rPr>
        <w:t> »</w:t>
      </w:r>
      <w:r>
        <w:rPr>
          <w:rFonts w:ascii="Arial" w:hAnsi="Arial" w:cs="Arial"/>
          <w:sz w:val="20"/>
          <w:szCs w:val="20"/>
        </w:rPr>
        <w:t> </w:t>
      </w:r>
      <w:r w:rsidRPr="00357F7B">
        <w:rPr>
          <w:rFonts w:ascii="Arial" w:hAnsi="Arial" w:cs="Arial"/>
          <w:i/>
          <w:sz w:val="20"/>
          <w:szCs w:val="20"/>
        </w:rPr>
        <w:t>Centre identifié pour la prise en charge des infections ostéoarticulaires</w:t>
      </w:r>
      <w:r>
        <w:rPr>
          <w:rFonts w:ascii="Arial" w:hAnsi="Arial" w:cs="Arial"/>
          <w:sz w:val="20"/>
          <w:szCs w:val="20"/>
        </w:rPr>
        <w:t xml:space="preserve"> qui leur est rattachée. Les ARS peuvent décider d’affecter une autorisation « 30 » à un centre non référent qui est dit « centre correspondant ». </w:t>
      </w:r>
      <w:r w:rsidR="000C60CD">
        <w:rPr>
          <w:rFonts w:ascii="Arial" w:hAnsi="Arial" w:cs="Arial"/>
          <w:sz w:val="20"/>
          <w:szCs w:val="20"/>
        </w:rPr>
        <w:t>L</w:t>
      </w:r>
      <w:r>
        <w:rPr>
          <w:rFonts w:ascii="Arial" w:hAnsi="Arial" w:cs="Arial"/>
          <w:sz w:val="20"/>
          <w:szCs w:val="20"/>
        </w:rPr>
        <w:t xml:space="preserve">’autorisation « 30 » </w:t>
      </w:r>
      <w:r w:rsidR="000C60CD">
        <w:rPr>
          <w:rFonts w:ascii="Arial" w:hAnsi="Arial" w:cs="Arial"/>
          <w:sz w:val="20"/>
          <w:szCs w:val="20"/>
        </w:rPr>
        <w:t>a pour libellé</w:t>
      </w:r>
      <w:r>
        <w:rPr>
          <w:rFonts w:ascii="Arial" w:hAnsi="Arial" w:cs="Arial"/>
          <w:sz w:val="20"/>
          <w:szCs w:val="20"/>
        </w:rPr>
        <w:t xml:space="preserve"> </w:t>
      </w:r>
      <w:r w:rsidRPr="00F91DD2">
        <w:rPr>
          <w:rFonts w:ascii="Arial" w:hAnsi="Arial" w:cs="Arial"/>
          <w:i/>
          <w:sz w:val="20"/>
          <w:szCs w:val="20"/>
        </w:rPr>
        <w:t>Centre interrégional de référence ou centre correspondant pour la prise en charge des infections ostéoarticulaires complexes</w:t>
      </w:r>
      <w:r>
        <w:rPr>
          <w:rFonts w:ascii="Arial" w:hAnsi="Arial" w:cs="Arial"/>
          <w:i/>
          <w:sz w:val="20"/>
          <w:szCs w:val="20"/>
        </w:rPr>
        <w:t>.</w:t>
      </w:r>
    </w:p>
    <w:p w:rsidR="004839D0" w:rsidRDefault="004839D0" w:rsidP="004839D0">
      <w:pPr>
        <w:pStyle w:val="Default"/>
        <w:spacing w:after="240" w:line="276" w:lineRule="auto"/>
        <w:jc w:val="both"/>
        <w:rPr>
          <w:sz w:val="20"/>
          <w:szCs w:val="20"/>
        </w:rPr>
      </w:pPr>
    </w:p>
    <w:p w:rsidR="002930BA" w:rsidRDefault="00AE4BDD" w:rsidP="004839D0">
      <w:pPr>
        <w:pStyle w:val="Paragraphedeliste"/>
        <w:numPr>
          <w:ilvl w:val="1"/>
          <w:numId w:val="7"/>
        </w:numPr>
        <w:spacing w:after="0"/>
        <w:contextualSpacing w:val="0"/>
        <w:jc w:val="both"/>
        <w:outlineLvl w:val="1"/>
        <w:rPr>
          <w:rFonts w:ascii="Arial" w:hAnsi="Arial" w:cs="Arial"/>
          <w:b/>
          <w:color w:val="514B64"/>
        </w:rPr>
      </w:pPr>
      <w:bookmarkStart w:id="25" w:name="_Toc496603314"/>
      <w:r>
        <w:rPr>
          <w:rFonts w:ascii="Arial" w:hAnsi="Arial" w:cs="Arial"/>
          <w:b/>
          <w:color w:val="514B64"/>
        </w:rPr>
        <w:t>Les séjours pour une IOA dites « complexes »</w:t>
      </w:r>
      <w:bookmarkEnd w:id="25"/>
    </w:p>
    <w:p w:rsidR="00052525" w:rsidRDefault="00052525" w:rsidP="004839D0">
      <w:pPr>
        <w:spacing w:after="0"/>
        <w:jc w:val="both"/>
        <w:rPr>
          <w:rFonts w:ascii="Arial" w:hAnsi="Arial" w:cs="Arial"/>
          <w:sz w:val="20"/>
          <w:szCs w:val="20"/>
        </w:rPr>
      </w:pPr>
    </w:p>
    <w:p w:rsidR="005D4629" w:rsidRPr="00E1040E" w:rsidRDefault="005D4629" w:rsidP="004839D0">
      <w:pPr>
        <w:spacing w:after="0"/>
        <w:jc w:val="both"/>
        <w:rPr>
          <w:rFonts w:ascii="Arial" w:hAnsi="Arial" w:cs="Arial"/>
          <w:sz w:val="20"/>
          <w:szCs w:val="20"/>
        </w:rPr>
      </w:pPr>
      <w:r>
        <w:rPr>
          <w:rFonts w:ascii="Arial" w:hAnsi="Arial" w:cs="Arial"/>
          <w:sz w:val="20"/>
          <w:szCs w:val="20"/>
        </w:rPr>
        <w:t xml:space="preserve">Les séjours pour </w:t>
      </w:r>
      <w:r w:rsidR="00837EEC">
        <w:rPr>
          <w:rFonts w:ascii="Arial" w:hAnsi="Arial" w:cs="Arial"/>
          <w:sz w:val="20"/>
          <w:szCs w:val="20"/>
        </w:rPr>
        <w:t>le traitement d’</w:t>
      </w:r>
      <w:r>
        <w:rPr>
          <w:rFonts w:ascii="Arial" w:hAnsi="Arial" w:cs="Arial"/>
          <w:sz w:val="20"/>
          <w:szCs w:val="20"/>
        </w:rPr>
        <w:t xml:space="preserve">une IOA dites « complexes » </w:t>
      </w:r>
      <w:r w:rsidR="00837EEC">
        <w:rPr>
          <w:rFonts w:ascii="Arial" w:hAnsi="Arial" w:cs="Arial"/>
          <w:sz w:val="20"/>
          <w:szCs w:val="20"/>
        </w:rPr>
        <w:t>sont</w:t>
      </w:r>
      <w:r>
        <w:rPr>
          <w:rFonts w:ascii="Arial" w:hAnsi="Arial" w:cs="Arial"/>
          <w:sz w:val="20"/>
          <w:szCs w:val="20"/>
        </w:rPr>
        <w:t xml:space="preserve"> classés dans la racine de chirurgie 08C56</w:t>
      </w:r>
      <w:r w:rsidR="00C47F54">
        <w:rPr>
          <w:rFonts w:ascii="Arial" w:hAnsi="Arial" w:cs="Arial"/>
          <w:sz w:val="20"/>
          <w:szCs w:val="20"/>
        </w:rPr>
        <w:t xml:space="preserve"> (v11 à v11f) et 08C61/08C62 (à partir de la v11g)</w:t>
      </w:r>
      <w:r w:rsidR="00837EEC">
        <w:rPr>
          <w:rFonts w:ascii="Arial" w:hAnsi="Arial" w:cs="Arial"/>
          <w:sz w:val="20"/>
          <w:szCs w:val="20"/>
        </w:rPr>
        <w:t xml:space="preserve"> ou</w:t>
      </w:r>
      <w:r>
        <w:rPr>
          <w:rFonts w:ascii="Arial" w:hAnsi="Arial" w:cs="Arial"/>
          <w:sz w:val="20"/>
          <w:szCs w:val="20"/>
        </w:rPr>
        <w:t xml:space="preserve"> dans les r</w:t>
      </w:r>
      <w:r w:rsidR="00837EEC">
        <w:rPr>
          <w:rFonts w:ascii="Arial" w:hAnsi="Arial" w:cs="Arial"/>
          <w:sz w:val="20"/>
          <w:szCs w:val="20"/>
        </w:rPr>
        <w:t>acines médicales 08M31 et 08M32.</w:t>
      </w:r>
    </w:p>
    <w:p w:rsidR="00DC761E" w:rsidRDefault="002308ED" w:rsidP="004839D0">
      <w:pPr>
        <w:spacing w:after="0"/>
        <w:jc w:val="both"/>
        <w:rPr>
          <w:rFonts w:ascii="Arial" w:hAnsi="Arial" w:cs="Arial"/>
          <w:sz w:val="20"/>
          <w:szCs w:val="20"/>
        </w:rPr>
      </w:pPr>
      <w:r>
        <w:rPr>
          <w:rFonts w:ascii="Arial" w:hAnsi="Arial" w:cs="Arial"/>
          <w:sz w:val="20"/>
          <w:szCs w:val="20"/>
        </w:rPr>
        <w:t>U</w:t>
      </w:r>
      <w:r w:rsidR="002C25B6">
        <w:rPr>
          <w:rFonts w:ascii="Arial" w:hAnsi="Arial" w:cs="Arial"/>
          <w:sz w:val="20"/>
          <w:szCs w:val="20"/>
        </w:rPr>
        <w:t xml:space="preserve">n séjour pour le traitement d’une </w:t>
      </w:r>
      <w:r w:rsidR="002C25B6" w:rsidRPr="002308ED">
        <w:rPr>
          <w:rFonts w:ascii="Arial" w:hAnsi="Arial" w:cs="Arial"/>
          <w:b/>
          <w:sz w:val="20"/>
          <w:szCs w:val="20"/>
        </w:rPr>
        <w:t>IOA</w:t>
      </w:r>
      <w:r w:rsidR="002C25B6">
        <w:rPr>
          <w:rFonts w:ascii="Arial" w:hAnsi="Arial" w:cs="Arial"/>
          <w:sz w:val="20"/>
          <w:szCs w:val="20"/>
        </w:rPr>
        <w:t xml:space="preserve"> </w:t>
      </w:r>
      <w:r w:rsidR="002C25B6" w:rsidRPr="002308ED">
        <w:rPr>
          <w:rFonts w:ascii="Arial" w:hAnsi="Arial" w:cs="Arial"/>
          <w:b/>
          <w:sz w:val="20"/>
          <w:szCs w:val="20"/>
        </w:rPr>
        <w:t>complexe</w:t>
      </w:r>
      <w:r w:rsidR="002C25B6">
        <w:rPr>
          <w:rFonts w:ascii="Arial" w:hAnsi="Arial" w:cs="Arial"/>
          <w:sz w:val="20"/>
          <w:szCs w:val="20"/>
        </w:rPr>
        <w:t xml:space="preserve"> ne </w:t>
      </w:r>
      <w:r>
        <w:rPr>
          <w:rFonts w:ascii="Arial" w:hAnsi="Arial" w:cs="Arial"/>
          <w:sz w:val="20"/>
          <w:szCs w:val="20"/>
        </w:rPr>
        <w:t>doit</w:t>
      </w:r>
      <w:r w:rsidR="002C25B6">
        <w:rPr>
          <w:rFonts w:ascii="Arial" w:hAnsi="Arial" w:cs="Arial"/>
          <w:sz w:val="20"/>
          <w:szCs w:val="20"/>
        </w:rPr>
        <w:t xml:space="preserve"> être réalisé que dans un centre de référence ou correspondant</w:t>
      </w:r>
      <w:r>
        <w:rPr>
          <w:rFonts w:ascii="Arial" w:hAnsi="Arial" w:cs="Arial"/>
          <w:sz w:val="20"/>
          <w:szCs w:val="20"/>
        </w:rPr>
        <w:t>, sauf urgence</w:t>
      </w:r>
      <w:r w:rsidR="002C25B6">
        <w:rPr>
          <w:rFonts w:ascii="Arial" w:hAnsi="Arial" w:cs="Arial"/>
          <w:sz w:val="20"/>
          <w:szCs w:val="20"/>
        </w:rPr>
        <w:t xml:space="preserve">. </w:t>
      </w:r>
      <w:r w:rsidR="00DC761E">
        <w:rPr>
          <w:rFonts w:ascii="Arial" w:hAnsi="Arial" w:cs="Arial"/>
          <w:sz w:val="20"/>
          <w:szCs w:val="20"/>
        </w:rPr>
        <w:t>Le caractère complexe de la prise en charge de l’IOA est déterminé dans le PMSI :</w:t>
      </w:r>
    </w:p>
    <w:p w:rsidR="00DC761E" w:rsidRDefault="009B122E" w:rsidP="004839D0">
      <w:pPr>
        <w:pStyle w:val="Paragraphedeliste"/>
        <w:numPr>
          <w:ilvl w:val="0"/>
          <w:numId w:val="17"/>
        </w:numPr>
        <w:spacing w:after="0"/>
        <w:contextualSpacing w:val="0"/>
        <w:jc w:val="both"/>
        <w:rPr>
          <w:rFonts w:ascii="Arial" w:hAnsi="Arial" w:cs="Arial"/>
          <w:sz w:val="20"/>
          <w:szCs w:val="20"/>
        </w:rPr>
      </w:pPr>
      <w:r w:rsidRPr="00697CD7">
        <w:rPr>
          <w:rFonts w:ascii="Arial" w:hAnsi="Arial" w:cs="Arial"/>
          <w:b/>
          <w:color w:val="0084A8"/>
          <w:sz w:val="20"/>
          <w:szCs w:val="20"/>
        </w:rPr>
        <w:t xml:space="preserve">Avant mars 2011 </w:t>
      </w:r>
      <w:r w:rsidR="00DC761E">
        <w:rPr>
          <w:rFonts w:ascii="Arial" w:hAnsi="Arial" w:cs="Arial"/>
          <w:sz w:val="20"/>
          <w:szCs w:val="20"/>
        </w:rPr>
        <w:t xml:space="preserve">par </w:t>
      </w:r>
      <w:r w:rsidR="00DC761E" w:rsidRPr="00D64FD0">
        <w:rPr>
          <w:rFonts w:ascii="Arial" w:hAnsi="Arial" w:cs="Arial"/>
          <w:sz w:val="20"/>
          <w:szCs w:val="20"/>
        </w:rPr>
        <w:t>le passage par une Unité Médicale (UM) 30</w:t>
      </w:r>
      <w:r w:rsidR="00DC761E">
        <w:rPr>
          <w:rFonts w:ascii="Arial" w:hAnsi="Arial" w:cs="Arial"/>
          <w:sz w:val="20"/>
          <w:szCs w:val="20"/>
        </w:rPr>
        <w:t>.</w:t>
      </w:r>
    </w:p>
    <w:p w:rsidR="00226FD0" w:rsidRDefault="00DC761E" w:rsidP="004839D0">
      <w:pPr>
        <w:pStyle w:val="Paragraphedeliste"/>
        <w:numPr>
          <w:ilvl w:val="0"/>
          <w:numId w:val="17"/>
        </w:numPr>
        <w:spacing w:after="0"/>
        <w:contextualSpacing w:val="0"/>
        <w:jc w:val="both"/>
        <w:rPr>
          <w:rFonts w:ascii="Arial" w:hAnsi="Arial" w:cs="Arial"/>
          <w:sz w:val="20"/>
          <w:szCs w:val="20"/>
        </w:rPr>
      </w:pPr>
      <w:r w:rsidRPr="00697CD7">
        <w:rPr>
          <w:rFonts w:ascii="Arial" w:hAnsi="Arial" w:cs="Arial"/>
          <w:b/>
          <w:color w:val="0084A8"/>
          <w:sz w:val="20"/>
          <w:szCs w:val="20"/>
        </w:rPr>
        <w:t>A partir de mars 2011</w:t>
      </w:r>
      <w:r w:rsidRPr="00697CD7">
        <w:rPr>
          <w:rFonts w:ascii="Arial" w:hAnsi="Arial" w:cs="Arial"/>
          <w:color w:val="0084A8"/>
          <w:sz w:val="20"/>
          <w:szCs w:val="20"/>
        </w:rPr>
        <w:t xml:space="preserve"> </w:t>
      </w:r>
      <w:r w:rsidRPr="009B122E">
        <w:rPr>
          <w:rFonts w:ascii="Arial" w:hAnsi="Arial" w:cs="Arial"/>
          <w:sz w:val="20"/>
          <w:szCs w:val="20"/>
        </w:rPr>
        <w:t xml:space="preserve">par l’affectation de l’autorisation UM 30 à l’établissement </w:t>
      </w:r>
      <w:r w:rsidR="003C0BE4" w:rsidRPr="009B122E">
        <w:rPr>
          <w:rFonts w:ascii="Arial" w:hAnsi="Arial" w:cs="Arial"/>
          <w:sz w:val="20"/>
          <w:szCs w:val="20"/>
        </w:rPr>
        <w:t xml:space="preserve">en cours de validité </w:t>
      </w:r>
      <w:r w:rsidRPr="009B122E">
        <w:rPr>
          <w:rFonts w:ascii="Arial" w:hAnsi="Arial" w:cs="Arial"/>
          <w:sz w:val="20"/>
          <w:szCs w:val="20"/>
        </w:rPr>
        <w:t>et la présence en DA du code CIM-10 Z76.800.</w:t>
      </w:r>
    </w:p>
    <w:p w:rsidR="008759C9" w:rsidRDefault="008759C9" w:rsidP="008759C9">
      <w:pPr>
        <w:pStyle w:val="Paragraphedeliste"/>
        <w:spacing w:after="0"/>
        <w:contextualSpacing w:val="0"/>
        <w:jc w:val="both"/>
        <w:rPr>
          <w:rFonts w:ascii="Arial" w:hAnsi="Arial" w:cs="Arial"/>
          <w:sz w:val="20"/>
          <w:szCs w:val="20"/>
        </w:rPr>
      </w:pPr>
    </w:p>
    <w:p w:rsidR="00DC761E" w:rsidRDefault="00226FD0" w:rsidP="004839D0">
      <w:pPr>
        <w:spacing w:after="0"/>
        <w:jc w:val="both"/>
        <w:rPr>
          <w:rFonts w:ascii="Arial" w:hAnsi="Arial" w:cs="Arial"/>
          <w:sz w:val="20"/>
          <w:szCs w:val="20"/>
        </w:rPr>
      </w:pPr>
      <w:r>
        <w:rPr>
          <w:rFonts w:ascii="Arial" w:hAnsi="Arial" w:cs="Arial"/>
          <w:sz w:val="20"/>
          <w:szCs w:val="20"/>
        </w:rPr>
        <w:t>Entre mars 2011et février 2012, l</w:t>
      </w:r>
      <w:r w:rsidR="00DC761E" w:rsidRPr="00226FD0">
        <w:rPr>
          <w:rFonts w:ascii="Arial" w:hAnsi="Arial" w:cs="Arial"/>
          <w:sz w:val="20"/>
          <w:szCs w:val="20"/>
        </w:rPr>
        <w:t>’UM de type « 30 » n’est plus indiquée dans le Résumé d’Unité Médicale (RUM) du RSA mais dans le fichier de description du type d'autorisation des unités médicales (IUM). L’autorisation n’est plus affectée à l’UM mais globalement à l’établissement.</w:t>
      </w:r>
    </w:p>
    <w:p w:rsidR="008759C9" w:rsidRDefault="008759C9" w:rsidP="004839D0">
      <w:pPr>
        <w:spacing w:after="0"/>
        <w:jc w:val="both"/>
        <w:rPr>
          <w:rFonts w:ascii="Arial" w:hAnsi="Arial" w:cs="Arial"/>
          <w:sz w:val="20"/>
          <w:szCs w:val="20"/>
        </w:rPr>
      </w:pPr>
    </w:p>
    <w:p w:rsidR="00226FD0" w:rsidRDefault="00226FD0" w:rsidP="004839D0">
      <w:pPr>
        <w:spacing w:after="0"/>
        <w:jc w:val="both"/>
        <w:rPr>
          <w:rFonts w:ascii="Arial" w:hAnsi="Arial" w:cs="Arial"/>
          <w:sz w:val="20"/>
          <w:szCs w:val="20"/>
        </w:rPr>
      </w:pPr>
      <w:r>
        <w:rPr>
          <w:rFonts w:ascii="Arial" w:hAnsi="Arial" w:cs="Arial"/>
          <w:sz w:val="20"/>
          <w:szCs w:val="20"/>
        </w:rPr>
        <w:t>A partir de mars 2012, sont ajoutés dans le RSA le nombre et le type d’autorisation globale affectée à l’établissement.</w:t>
      </w:r>
      <w:r w:rsidRPr="00226FD0">
        <w:rPr>
          <w:rFonts w:ascii="Arial" w:hAnsi="Arial" w:cs="Arial"/>
          <w:sz w:val="20"/>
          <w:szCs w:val="20"/>
        </w:rPr>
        <w:t xml:space="preserve"> Il est donc </w:t>
      </w:r>
      <w:r w:rsidRPr="00226FD0">
        <w:rPr>
          <w:rFonts w:ascii="Arial" w:hAnsi="Arial" w:cs="Arial"/>
          <w:sz w:val="20"/>
          <w:szCs w:val="20"/>
        </w:rPr>
        <w:lastRenderedPageBreak/>
        <w:t xml:space="preserve">possible de savoir si l’établissement a reçu l’autorisation 30. Cependant, </w:t>
      </w:r>
      <w:r w:rsidR="00345A10" w:rsidRPr="00226FD0">
        <w:rPr>
          <w:rFonts w:ascii="Arial" w:hAnsi="Arial" w:cs="Arial"/>
          <w:sz w:val="20"/>
          <w:szCs w:val="20"/>
        </w:rPr>
        <w:t xml:space="preserve">les dates de validité de l’autorisation ne sont pas indiquées dans le RSA </w:t>
      </w:r>
      <w:r w:rsidR="00345A10">
        <w:rPr>
          <w:rFonts w:ascii="Arial" w:hAnsi="Arial" w:cs="Arial"/>
          <w:sz w:val="20"/>
          <w:szCs w:val="20"/>
        </w:rPr>
        <w:t>ce qui ne permet pas de vérifier si l’établissement est toujours habilité à prendre en charge les IOA complexes.</w:t>
      </w:r>
      <w:r w:rsidRPr="00226FD0">
        <w:rPr>
          <w:rFonts w:ascii="Arial" w:hAnsi="Arial" w:cs="Arial"/>
          <w:sz w:val="20"/>
          <w:szCs w:val="20"/>
        </w:rPr>
        <w:t xml:space="preserve"> </w:t>
      </w:r>
    </w:p>
    <w:p w:rsidR="008759C9" w:rsidRPr="00226FD0" w:rsidRDefault="008759C9" w:rsidP="004839D0">
      <w:pPr>
        <w:spacing w:after="0"/>
        <w:jc w:val="both"/>
        <w:rPr>
          <w:rFonts w:ascii="Arial" w:hAnsi="Arial" w:cs="Arial"/>
          <w:sz w:val="20"/>
          <w:szCs w:val="20"/>
        </w:rPr>
      </w:pPr>
    </w:p>
    <w:p w:rsidR="00697CD7" w:rsidRDefault="00697CD7" w:rsidP="004839D0">
      <w:pPr>
        <w:pStyle w:val="Default"/>
        <w:spacing w:line="276" w:lineRule="auto"/>
        <w:jc w:val="both"/>
        <w:rPr>
          <w:sz w:val="20"/>
          <w:szCs w:val="20"/>
        </w:rPr>
      </w:pPr>
      <w:r>
        <w:rPr>
          <w:sz w:val="20"/>
          <w:szCs w:val="20"/>
        </w:rPr>
        <w:t xml:space="preserve">La </w:t>
      </w:r>
      <w:r w:rsidRPr="00226FD0">
        <w:rPr>
          <w:b/>
          <w:sz w:val="20"/>
          <w:szCs w:val="20"/>
        </w:rPr>
        <w:t>majoration du tarif</w:t>
      </w:r>
      <w:r>
        <w:rPr>
          <w:sz w:val="20"/>
          <w:szCs w:val="20"/>
        </w:rPr>
        <w:t xml:space="preserve"> suite à la prise en charge d’un patient atteint d’une IOA complexe n’est appliquée que dans les cas où cette prise en charge est de type chirurgical (08C56 ou 08C61/08C62)</w:t>
      </w:r>
      <w:r w:rsidR="00226FD0">
        <w:rPr>
          <w:sz w:val="20"/>
          <w:szCs w:val="20"/>
        </w:rPr>
        <w:t xml:space="preserve"> et</w:t>
      </w:r>
      <w:r>
        <w:rPr>
          <w:sz w:val="20"/>
          <w:szCs w:val="20"/>
        </w:rPr>
        <w:t xml:space="preserve"> </w:t>
      </w:r>
      <w:r w:rsidR="00226FD0" w:rsidRPr="00226FD0">
        <w:rPr>
          <w:sz w:val="20"/>
          <w:szCs w:val="20"/>
        </w:rPr>
        <w:t xml:space="preserve">se déroulant dans un centre de référence ou correspondant </w:t>
      </w:r>
      <w:r>
        <w:rPr>
          <w:sz w:val="20"/>
          <w:szCs w:val="20"/>
        </w:rPr>
        <w:t>selon les règles suivantes :</w:t>
      </w:r>
    </w:p>
    <w:p w:rsidR="00697CD7" w:rsidRDefault="00697CD7" w:rsidP="00697CD7">
      <w:pPr>
        <w:pStyle w:val="Default"/>
        <w:jc w:val="both"/>
        <w:rPr>
          <w:sz w:val="20"/>
          <w:szCs w:val="20"/>
        </w:rPr>
      </w:pPr>
    </w:p>
    <w:tbl>
      <w:tblPr>
        <w:tblStyle w:val="Grilledutableau"/>
        <w:tblW w:w="0" w:type="auto"/>
        <w:jc w:val="center"/>
        <w:tblLook w:val="04A0" w:firstRow="1" w:lastRow="0" w:firstColumn="1" w:lastColumn="0" w:noHBand="0" w:noVBand="1"/>
      </w:tblPr>
      <w:tblGrid>
        <w:gridCol w:w="2972"/>
        <w:gridCol w:w="5528"/>
      </w:tblGrid>
      <w:tr w:rsidR="00697CD7" w:rsidRPr="00764E05" w:rsidTr="000A6B61">
        <w:trPr>
          <w:trHeight w:val="386"/>
          <w:jc w:val="center"/>
        </w:trPr>
        <w:tc>
          <w:tcPr>
            <w:tcW w:w="2972" w:type="dxa"/>
            <w:tcBorders>
              <w:bottom w:val="single" w:sz="4" w:space="0" w:color="auto"/>
            </w:tcBorders>
            <w:shd w:val="clear" w:color="auto" w:fill="C9670D"/>
            <w:vAlign w:val="center"/>
          </w:tcPr>
          <w:p w:rsidR="00697CD7" w:rsidRPr="007843EC" w:rsidRDefault="00697CD7" w:rsidP="000A6B61">
            <w:pPr>
              <w:pStyle w:val="Default"/>
              <w:jc w:val="center"/>
              <w:rPr>
                <w:b/>
                <w:color w:val="FFFFFF" w:themeColor="background1"/>
                <w:sz w:val="18"/>
                <w:szCs w:val="18"/>
              </w:rPr>
            </w:pPr>
            <w:r w:rsidRPr="007843EC">
              <w:rPr>
                <w:b/>
                <w:color w:val="FFFFFF" w:themeColor="background1"/>
                <w:sz w:val="18"/>
                <w:szCs w:val="18"/>
              </w:rPr>
              <w:t>Période</w:t>
            </w:r>
          </w:p>
        </w:tc>
        <w:tc>
          <w:tcPr>
            <w:tcW w:w="5528" w:type="dxa"/>
            <w:shd w:val="clear" w:color="auto" w:fill="C9670D"/>
            <w:vAlign w:val="center"/>
          </w:tcPr>
          <w:p w:rsidR="00697CD7" w:rsidRPr="007843EC" w:rsidRDefault="00697CD7" w:rsidP="000A6B61">
            <w:pPr>
              <w:pStyle w:val="Default"/>
              <w:jc w:val="center"/>
              <w:rPr>
                <w:b/>
                <w:color w:val="FFFFFF" w:themeColor="background1"/>
                <w:sz w:val="18"/>
                <w:szCs w:val="18"/>
              </w:rPr>
            </w:pPr>
            <w:r w:rsidRPr="007843EC">
              <w:rPr>
                <w:b/>
                <w:color w:val="FFFFFF" w:themeColor="background1"/>
                <w:sz w:val="18"/>
                <w:szCs w:val="18"/>
              </w:rPr>
              <w:t>Tarif majoré si</w:t>
            </w:r>
          </w:p>
        </w:tc>
      </w:tr>
      <w:tr w:rsidR="00697CD7" w:rsidTr="000A6B61">
        <w:trPr>
          <w:jc w:val="center"/>
        </w:trPr>
        <w:tc>
          <w:tcPr>
            <w:tcW w:w="2972" w:type="dxa"/>
            <w:shd w:val="clear" w:color="auto" w:fill="514B64"/>
            <w:vAlign w:val="center"/>
          </w:tcPr>
          <w:p w:rsidR="00697CD7" w:rsidRPr="007843EC" w:rsidRDefault="00697CD7" w:rsidP="000A6B61">
            <w:pPr>
              <w:pStyle w:val="Default"/>
              <w:jc w:val="center"/>
              <w:rPr>
                <w:b/>
                <w:color w:val="FFFFFF" w:themeColor="background1"/>
                <w:sz w:val="18"/>
                <w:szCs w:val="18"/>
              </w:rPr>
            </w:pPr>
            <w:r w:rsidRPr="007843EC">
              <w:rPr>
                <w:b/>
                <w:color w:val="FFFFFF" w:themeColor="background1"/>
                <w:sz w:val="18"/>
                <w:szCs w:val="18"/>
              </w:rPr>
              <w:t>Mars 2009 à Février 2011</w:t>
            </w:r>
          </w:p>
        </w:tc>
        <w:tc>
          <w:tcPr>
            <w:tcW w:w="5528" w:type="dxa"/>
          </w:tcPr>
          <w:p w:rsidR="00697CD7" w:rsidRPr="007843EC" w:rsidRDefault="00697CD7" w:rsidP="000A6B61">
            <w:pPr>
              <w:pStyle w:val="Default"/>
              <w:jc w:val="both"/>
              <w:rPr>
                <w:sz w:val="18"/>
                <w:szCs w:val="18"/>
              </w:rPr>
            </w:pPr>
          </w:p>
          <w:p w:rsidR="00697CD7" w:rsidRPr="007843EC" w:rsidRDefault="00697CD7" w:rsidP="00697CD7">
            <w:pPr>
              <w:pStyle w:val="Default"/>
              <w:numPr>
                <w:ilvl w:val="0"/>
                <w:numId w:val="17"/>
              </w:numPr>
              <w:jc w:val="both"/>
              <w:rPr>
                <w:sz w:val="18"/>
                <w:szCs w:val="18"/>
              </w:rPr>
            </w:pPr>
            <w:r w:rsidRPr="007843EC">
              <w:rPr>
                <w:sz w:val="18"/>
                <w:szCs w:val="18"/>
              </w:rPr>
              <w:t>Racine 08C56</w:t>
            </w:r>
          </w:p>
          <w:p w:rsidR="00697CD7" w:rsidRPr="007843EC" w:rsidRDefault="00697CD7" w:rsidP="00697CD7">
            <w:pPr>
              <w:pStyle w:val="Default"/>
              <w:numPr>
                <w:ilvl w:val="0"/>
                <w:numId w:val="17"/>
              </w:numPr>
              <w:jc w:val="both"/>
              <w:rPr>
                <w:sz w:val="18"/>
                <w:szCs w:val="18"/>
              </w:rPr>
            </w:pPr>
            <w:r w:rsidRPr="007843EC">
              <w:rPr>
                <w:sz w:val="18"/>
                <w:szCs w:val="18"/>
              </w:rPr>
              <w:t>Prise en charge dans un centre de référence (passage par une Unité Médicale (UM) 30)</w:t>
            </w:r>
            <w:r w:rsidRPr="007843EC">
              <w:rPr>
                <w:rStyle w:val="Appelnotedebasdep"/>
                <w:sz w:val="18"/>
                <w:szCs w:val="18"/>
              </w:rPr>
              <w:footnoteReference w:id="3"/>
            </w:r>
          </w:p>
          <w:p w:rsidR="00697CD7" w:rsidRPr="007843EC" w:rsidRDefault="00697CD7" w:rsidP="000A6B61">
            <w:pPr>
              <w:pStyle w:val="Default"/>
              <w:jc w:val="both"/>
              <w:rPr>
                <w:sz w:val="18"/>
                <w:szCs w:val="18"/>
              </w:rPr>
            </w:pPr>
          </w:p>
        </w:tc>
      </w:tr>
      <w:tr w:rsidR="00697CD7" w:rsidTr="000A6B61">
        <w:trPr>
          <w:jc w:val="center"/>
        </w:trPr>
        <w:tc>
          <w:tcPr>
            <w:tcW w:w="2972" w:type="dxa"/>
            <w:shd w:val="clear" w:color="auto" w:fill="514B64"/>
            <w:vAlign w:val="center"/>
          </w:tcPr>
          <w:p w:rsidR="00697CD7" w:rsidRPr="007843EC" w:rsidRDefault="00697CD7" w:rsidP="00697CD7">
            <w:pPr>
              <w:pStyle w:val="Default"/>
              <w:jc w:val="center"/>
              <w:rPr>
                <w:b/>
                <w:color w:val="FFFFFF" w:themeColor="background1"/>
                <w:sz w:val="18"/>
                <w:szCs w:val="18"/>
              </w:rPr>
            </w:pPr>
            <w:r w:rsidRPr="007843EC">
              <w:rPr>
                <w:b/>
                <w:color w:val="FFFFFF" w:themeColor="background1"/>
                <w:sz w:val="18"/>
                <w:szCs w:val="18"/>
              </w:rPr>
              <w:t xml:space="preserve">Mars 2011 à </w:t>
            </w:r>
            <w:r w:rsidR="00FE004B" w:rsidRPr="007843EC">
              <w:rPr>
                <w:b/>
                <w:color w:val="FFFFFF" w:themeColor="background1"/>
                <w:sz w:val="18"/>
                <w:szCs w:val="18"/>
              </w:rPr>
              <w:t>Mars 2015</w:t>
            </w:r>
          </w:p>
        </w:tc>
        <w:tc>
          <w:tcPr>
            <w:tcW w:w="5528" w:type="dxa"/>
          </w:tcPr>
          <w:p w:rsidR="00697CD7" w:rsidRPr="007843EC" w:rsidRDefault="00697CD7" w:rsidP="00697CD7">
            <w:pPr>
              <w:pStyle w:val="Default"/>
              <w:jc w:val="both"/>
              <w:rPr>
                <w:sz w:val="18"/>
                <w:szCs w:val="18"/>
              </w:rPr>
            </w:pPr>
          </w:p>
          <w:p w:rsidR="00697CD7" w:rsidRPr="007843EC" w:rsidRDefault="00697CD7" w:rsidP="00697CD7">
            <w:pPr>
              <w:pStyle w:val="Default"/>
              <w:numPr>
                <w:ilvl w:val="0"/>
                <w:numId w:val="17"/>
              </w:numPr>
              <w:jc w:val="both"/>
              <w:rPr>
                <w:sz w:val="18"/>
                <w:szCs w:val="18"/>
              </w:rPr>
            </w:pPr>
            <w:r w:rsidRPr="007843EC">
              <w:rPr>
                <w:sz w:val="18"/>
                <w:szCs w:val="18"/>
              </w:rPr>
              <w:t xml:space="preserve">Racine 08C56 </w:t>
            </w:r>
          </w:p>
          <w:p w:rsidR="00697CD7" w:rsidRPr="007843EC" w:rsidRDefault="00697CD7" w:rsidP="00697CD7">
            <w:pPr>
              <w:pStyle w:val="Default"/>
              <w:numPr>
                <w:ilvl w:val="0"/>
                <w:numId w:val="17"/>
              </w:numPr>
              <w:jc w:val="both"/>
              <w:rPr>
                <w:sz w:val="18"/>
                <w:szCs w:val="18"/>
              </w:rPr>
            </w:pPr>
            <w:r w:rsidRPr="007843EC">
              <w:rPr>
                <w:sz w:val="18"/>
                <w:szCs w:val="18"/>
              </w:rPr>
              <w:t>Prise en charge dans un centre de référence (passage par une Unité Médicale (UM) 30</w:t>
            </w:r>
            <w:r w:rsidR="0063058A" w:rsidRPr="007843EC">
              <w:rPr>
                <w:rFonts w:asciiTheme="minorHAnsi" w:hAnsiTheme="minorHAnsi" w:cstheme="minorBidi"/>
                <w:color w:val="auto"/>
                <w:sz w:val="18"/>
                <w:szCs w:val="18"/>
              </w:rPr>
              <w:t xml:space="preserve"> </w:t>
            </w:r>
            <w:r w:rsidR="0063058A" w:rsidRPr="007843EC">
              <w:rPr>
                <w:sz w:val="18"/>
                <w:szCs w:val="18"/>
              </w:rPr>
              <w:t>dans un établissement disposant de l’autorisation à portée globale en cours de validité</w:t>
            </w:r>
            <w:r w:rsidRPr="007843EC">
              <w:rPr>
                <w:sz w:val="18"/>
                <w:szCs w:val="18"/>
              </w:rPr>
              <w:t xml:space="preserve">) </w:t>
            </w:r>
          </w:p>
          <w:p w:rsidR="00697CD7" w:rsidRPr="007843EC" w:rsidRDefault="00697CD7" w:rsidP="00697CD7">
            <w:pPr>
              <w:pStyle w:val="Default"/>
              <w:numPr>
                <w:ilvl w:val="0"/>
                <w:numId w:val="17"/>
              </w:numPr>
              <w:jc w:val="both"/>
              <w:rPr>
                <w:sz w:val="18"/>
                <w:szCs w:val="18"/>
              </w:rPr>
            </w:pPr>
            <w:r w:rsidRPr="007843EC">
              <w:rPr>
                <w:sz w:val="18"/>
                <w:szCs w:val="18"/>
              </w:rPr>
              <w:t>Codage du diagnostic associé Z76.800</w:t>
            </w:r>
            <w:r w:rsidRPr="007843EC">
              <w:rPr>
                <w:rStyle w:val="Appelnotedebasdep"/>
                <w:sz w:val="18"/>
                <w:szCs w:val="18"/>
              </w:rPr>
              <w:footnoteReference w:id="4"/>
            </w:r>
          </w:p>
          <w:p w:rsidR="00697CD7" w:rsidRPr="007843EC" w:rsidRDefault="00697CD7" w:rsidP="000A6B61">
            <w:pPr>
              <w:pStyle w:val="Default"/>
              <w:jc w:val="both"/>
              <w:rPr>
                <w:sz w:val="18"/>
                <w:szCs w:val="18"/>
              </w:rPr>
            </w:pPr>
          </w:p>
        </w:tc>
      </w:tr>
      <w:tr w:rsidR="00697CD7" w:rsidTr="000A6B61">
        <w:trPr>
          <w:jc w:val="center"/>
        </w:trPr>
        <w:tc>
          <w:tcPr>
            <w:tcW w:w="2972" w:type="dxa"/>
            <w:shd w:val="clear" w:color="auto" w:fill="514B64"/>
            <w:vAlign w:val="center"/>
          </w:tcPr>
          <w:p w:rsidR="00697CD7" w:rsidRPr="007843EC" w:rsidRDefault="00697CD7" w:rsidP="000A6B61">
            <w:pPr>
              <w:pStyle w:val="Default"/>
              <w:jc w:val="center"/>
              <w:rPr>
                <w:b/>
                <w:color w:val="FFFFFF" w:themeColor="background1"/>
                <w:sz w:val="18"/>
                <w:szCs w:val="18"/>
              </w:rPr>
            </w:pPr>
            <w:r w:rsidRPr="007843EC">
              <w:rPr>
                <w:b/>
                <w:color w:val="FFFFFF" w:themeColor="background1"/>
                <w:sz w:val="18"/>
                <w:szCs w:val="18"/>
              </w:rPr>
              <w:t>À partir de Mars 2015</w:t>
            </w:r>
          </w:p>
        </w:tc>
        <w:tc>
          <w:tcPr>
            <w:tcW w:w="5528" w:type="dxa"/>
          </w:tcPr>
          <w:p w:rsidR="00697CD7" w:rsidRPr="007843EC" w:rsidRDefault="00697CD7" w:rsidP="000A6B61">
            <w:pPr>
              <w:pStyle w:val="Default"/>
              <w:jc w:val="both"/>
              <w:rPr>
                <w:sz w:val="18"/>
                <w:szCs w:val="18"/>
              </w:rPr>
            </w:pPr>
          </w:p>
          <w:p w:rsidR="00697CD7" w:rsidRPr="007843EC" w:rsidRDefault="00697CD7" w:rsidP="00697CD7">
            <w:pPr>
              <w:pStyle w:val="Default"/>
              <w:numPr>
                <w:ilvl w:val="0"/>
                <w:numId w:val="17"/>
              </w:numPr>
              <w:jc w:val="both"/>
              <w:rPr>
                <w:sz w:val="18"/>
                <w:szCs w:val="18"/>
              </w:rPr>
            </w:pPr>
            <w:r w:rsidRPr="007843EC">
              <w:rPr>
                <w:sz w:val="18"/>
                <w:szCs w:val="18"/>
              </w:rPr>
              <w:t xml:space="preserve">Racines 08C61 et 08C62 (diagnostic principal appartenant à la liste en annexe 2 et acte appartenant à la CMD08) </w:t>
            </w:r>
          </w:p>
          <w:p w:rsidR="00697CD7" w:rsidRPr="007843EC" w:rsidRDefault="00697CD7" w:rsidP="00697CD7">
            <w:pPr>
              <w:pStyle w:val="Default"/>
              <w:numPr>
                <w:ilvl w:val="0"/>
                <w:numId w:val="17"/>
              </w:numPr>
              <w:jc w:val="both"/>
              <w:rPr>
                <w:sz w:val="18"/>
                <w:szCs w:val="18"/>
              </w:rPr>
            </w:pPr>
            <w:r w:rsidRPr="007843EC">
              <w:rPr>
                <w:sz w:val="18"/>
                <w:szCs w:val="18"/>
              </w:rPr>
              <w:t xml:space="preserve">Prise en charge dans un centre de référence ou correspondant (UM 30 à portée globale) </w:t>
            </w:r>
          </w:p>
          <w:p w:rsidR="00697CD7" w:rsidRPr="007843EC" w:rsidRDefault="00697CD7" w:rsidP="00697CD7">
            <w:pPr>
              <w:pStyle w:val="Default"/>
              <w:numPr>
                <w:ilvl w:val="0"/>
                <w:numId w:val="17"/>
              </w:numPr>
              <w:jc w:val="both"/>
              <w:rPr>
                <w:sz w:val="18"/>
                <w:szCs w:val="18"/>
              </w:rPr>
            </w:pPr>
            <w:r w:rsidRPr="007843EC">
              <w:rPr>
                <w:sz w:val="18"/>
                <w:szCs w:val="18"/>
              </w:rPr>
              <w:t>Codage du diagnostic associé Z76.800</w:t>
            </w:r>
          </w:p>
          <w:p w:rsidR="00697CD7" w:rsidRPr="007843EC" w:rsidRDefault="00697CD7" w:rsidP="000A6B61">
            <w:pPr>
              <w:pStyle w:val="Default"/>
              <w:jc w:val="both"/>
              <w:rPr>
                <w:sz w:val="18"/>
                <w:szCs w:val="18"/>
              </w:rPr>
            </w:pPr>
          </w:p>
        </w:tc>
      </w:tr>
    </w:tbl>
    <w:p w:rsidR="00697CD7" w:rsidRPr="002645B2" w:rsidRDefault="00697CD7" w:rsidP="002645B2">
      <w:pPr>
        <w:jc w:val="both"/>
        <w:rPr>
          <w:rFonts w:ascii="Arial" w:hAnsi="Arial" w:cs="Arial"/>
          <w:sz w:val="20"/>
          <w:szCs w:val="20"/>
        </w:rPr>
      </w:pPr>
    </w:p>
    <w:p w:rsidR="003C0BE4" w:rsidRDefault="003C0BE4" w:rsidP="003C0BE4">
      <w:pPr>
        <w:jc w:val="both"/>
        <w:rPr>
          <w:rFonts w:ascii="Arial" w:hAnsi="Arial" w:cs="Arial"/>
          <w:sz w:val="20"/>
          <w:szCs w:val="20"/>
        </w:rPr>
      </w:pPr>
      <w:r>
        <w:rPr>
          <w:rFonts w:ascii="Arial" w:hAnsi="Arial" w:cs="Arial"/>
          <w:sz w:val="20"/>
          <w:szCs w:val="20"/>
        </w:rPr>
        <w:t xml:space="preserve">L’identification des centres de référence et correspondants se fait par le numéro FINESS. </w:t>
      </w:r>
      <w:r w:rsidRPr="002C25B6">
        <w:rPr>
          <w:rFonts w:ascii="Arial" w:hAnsi="Arial" w:cs="Arial"/>
          <w:sz w:val="20"/>
          <w:szCs w:val="20"/>
        </w:rPr>
        <w:t xml:space="preserve">La liste est disponible </w:t>
      </w:r>
      <w:r>
        <w:rPr>
          <w:rFonts w:ascii="Arial" w:hAnsi="Arial" w:cs="Arial"/>
          <w:sz w:val="20"/>
          <w:szCs w:val="20"/>
        </w:rPr>
        <w:t xml:space="preserve">en annexe </w:t>
      </w:r>
      <w:r w:rsidR="006A2B2A">
        <w:rPr>
          <w:rFonts w:ascii="Arial" w:hAnsi="Arial" w:cs="Arial"/>
          <w:sz w:val="20"/>
          <w:szCs w:val="20"/>
        </w:rPr>
        <w:t xml:space="preserve">1 </w:t>
      </w:r>
      <w:r w:rsidRPr="002C25B6">
        <w:rPr>
          <w:rFonts w:ascii="Arial" w:hAnsi="Arial" w:cs="Arial"/>
          <w:sz w:val="20"/>
          <w:szCs w:val="20"/>
        </w:rPr>
        <w:t>de ce document.</w:t>
      </w:r>
    </w:p>
    <w:p w:rsidR="006665D0" w:rsidRPr="00445625" w:rsidRDefault="00837EEC" w:rsidP="00445625">
      <w:pPr>
        <w:pStyle w:val="Paragraphedeliste"/>
        <w:numPr>
          <w:ilvl w:val="1"/>
          <w:numId w:val="7"/>
        </w:numPr>
        <w:tabs>
          <w:tab w:val="left" w:pos="2410"/>
        </w:tabs>
        <w:jc w:val="both"/>
        <w:outlineLvl w:val="2"/>
        <w:rPr>
          <w:rFonts w:ascii="Arial" w:hAnsi="Arial" w:cs="Arial"/>
          <w:b/>
          <w:color w:val="514B64"/>
        </w:rPr>
      </w:pPr>
      <w:bookmarkStart w:id="26" w:name="_Toc496603315"/>
      <w:r w:rsidRPr="00445625">
        <w:rPr>
          <w:rFonts w:ascii="Arial" w:hAnsi="Arial" w:cs="Arial"/>
          <w:b/>
          <w:color w:val="514B64"/>
        </w:rPr>
        <w:t>Les séjours motivés par une autre prise en charge d’un patient atteint</w:t>
      </w:r>
      <w:r w:rsidR="0071633D" w:rsidRPr="00445625">
        <w:rPr>
          <w:rFonts w:ascii="Arial" w:hAnsi="Arial" w:cs="Arial"/>
          <w:b/>
          <w:color w:val="514B64"/>
        </w:rPr>
        <w:t xml:space="preserve"> </w:t>
      </w:r>
      <w:r w:rsidRPr="00445625">
        <w:rPr>
          <w:rFonts w:ascii="Arial" w:hAnsi="Arial" w:cs="Arial"/>
          <w:b/>
          <w:color w:val="514B64"/>
        </w:rPr>
        <w:t>d’une IOA reconnue complexe</w:t>
      </w:r>
      <w:bookmarkEnd w:id="26"/>
    </w:p>
    <w:p w:rsidR="00837EEC" w:rsidRDefault="00837EEC" w:rsidP="00D64FD0">
      <w:pPr>
        <w:spacing w:after="0" w:line="240" w:lineRule="auto"/>
        <w:jc w:val="both"/>
        <w:rPr>
          <w:rFonts w:ascii="Arial" w:hAnsi="Arial" w:cs="Arial"/>
          <w:sz w:val="20"/>
          <w:szCs w:val="20"/>
        </w:rPr>
      </w:pPr>
      <w:r>
        <w:rPr>
          <w:rFonts w:ascii="Arial" w:hAnsi="Arial" w:cs="Arial"/>
          <w:sz w:val="20"/>
          <w:szCs w:val="20"/>
        </w:rPr>
        <w:t>La présence du DA Z76.800 existe :</w:t>
      </w:r>
    </w:p>
    <w:p w:rsidR="00837EEC" w:rsidRDefault="00837EEC" w:rsidP="00AE4BDD">
      <w:pPr>
        <w:pStyle w:val="Paragraphedeliste"/>
        <w:numPr>
          <w:ilvl w:val="0"/>
          <w:numId w:val="18"/>
        </w:numPr>
        <w:spacing w:after="0" w:line="240" w:lineRule="auto"/>
        <w:jc w:val="both"/>
        <w:rPr>
          <w:rFonts w:ascii="Arial" w:hAnsi="Arial" w:cs="Arial"/>
          <w:sz w:val="20"/>
          <w:szCs w:val="20"/>
        </w:rPr>
      </w:pPr>
      <w:r w:rsidRPr="00837EEC">
        <w:rPr>
          <w:rFonts w:ascii="Arial" w:hAnsi="Arial" w:cs="Arial"/>
          <w:sz w:val="20"/>
          <w:szCs w:val="20"/>
        </w:rPr>
        <w:t xml:space="preserve">dans d’autres racines </w:t>
      </w:r>
      <w:r w:rsidR="00750608">
        <w:rPr>
          <w:rFonts w:ascii="Arial" w:hAnsi="Arial" w:cs="Arial"/>
          <w:sz w:val="20"/>
          <w:szCs w:val="20"/>
        </w:rPr>
        <w:t>de la CMD 08 autres que</w:t>
      </w:r>
      <w:r w:rsidRPr="00837EEC">
        <w:rPr>
          <w:rFonts w:ascii="Arial" w:hAnsi="Arial" w:cs="Arial"/>
          <w:sz w:val="20"/>
          <w:szCs w:val="20"/>
        </w:rPr>
        <w:t xml:space="preserve"> 08C56</w:t>
      </w:r>
      <w:r w:rsidR="007F5E11">
        <w:rPr>
          <w:rFonts w:ascii="Arial" w:hAnsi="Arial" w:cs="Arial"/>
          <w:sz w:val="20"/>
          <w:szCs w:val="20"/>
        </w:rPr>
        <w:t>, 08C61, 08C62,</w:t>
      </w:r>
      <w:r w:rsidRPr="00837EEC">
        <w:rPr>
          <w:rFonts w:ascii="Arial" w:hAnsi="Arial" w:cs="Arial"/>
          <w:sz w:val="20"/>
          <w:szCs w:val="20"/>
        </w:rPr>
        <w:t xml:space="preserve"> 08M31 et 08M32, spécifiques au traitement des IOA,</w:t>
      </w:r>
    </w:p>
    <w:p w:rsidR="007B553A" w:rsidRPr="00837EEC" w:rsidRDefault="00837EEC" w:rsidP="00AE4BDD">
      <w:pPr>
        <w:pStyle w:val="Paragraphedeliste"/>
        <w:numPr>
          <w:ilvl w:val="0"/>
          <w:numId w:val="18"/>
        </w:numPr>
        <w:spacing w:after="0" w:line="240" w:lineRule="auto"/>
        <w:jc w:val="both"/>
        <w:rPr>
          <w:rFonts w:ascii="Arial" w:hAnsi="Arial" w:cs="Arial"/>
          <w:sz w:val="20"/>
          <w:szCs w:val="20"/>
        </w:rPr>
      </w:pPr>
      <w:r w:rsidRPr="00837EEC">
        <w:rPr>
          <w:rFonts w:ascii="Arial" w:hAnsi="Arial" w:cs="Arial"/>
          <w:sz w:val="20"/>
          <w:szCs w:val="20"/>
        </w:rPr>
        <w:t>mais, également, dans d’autres CMD</w:t>
      </w:r>
      <w:r w:rsidR="0041541C">
        <w:rPr>
          <w:rFonts w:ascii="Arial" w:hAnsi="Arial" w:cs="Arial"/>
          <w:sz w:val="20"/>
          <w:szCs w:val="20"/>
        </w:rPr>
        <w:t>, notamment</w:t>
      </w:r>
      <w:r w:rsidRPr="00837EEC">
        <w:rPr>
          <w:rFonts w:ascii="Arial" w:hAnsi="Arial" w:cs="Arial"/>
          <w:sz w:val="20"/>
          <w:szCs w:val="20"/>
        </w:rPr>
        <w:t xml:space="preserve"> la CMD 21 </w:t>
      </w:r>
      <w:r w:rsidRPr="00837EEC">
        <w:rPr>
          <w:rStyle w:val="lev"/>
          <w:rFonts w:ascii="Arial" w:hAnsi="Arial" w:cs="Arial"/>
          <w:b w:val="0"/>
          <w:i/>
          <w:sz w:val="20"/>
          <w:szCs w:val="20"/>
        </w:rPr>
        <w:t>Traumatismes, allergies et empoisonnements.</w:t>
      </w:r>
    </w:p>
    <w:p w:rsidR="007B553A" w:rsidRDefault="007B553A" w:rsidP="00D64FD0">
      <w:pPr>
        <w:spacing w:after="0" w:line="240" w:lineRule="auto"/>
        <w:jc w:val="both"/>
        <w:rPr>
          <w:rFonts w:ascii="Arial" w:hAnsi="Arial" w:cs="Arial"/>
          <w:sz w:val="20"/>
          <w:szCs w:val="20"/>
        </w:rPr>
      </w:pPr>
    </w:p>
    <w:p w:rsidR="007B553A" w:rsidRDefault="002220BC" w:rsidP="00D64FD0">
      <w:pPr>
        <w:spacing w:after="0" w:line="240" w:lineRule="auto"/>
        <w:jc w:val="both"/>
        <w:rPr>
          <w:rFonts w:ascii="Arial" w:hAnsi="Arial" w:cs="Arial"/>
          <w:sz w:val="20"/>
          <w:szCs w:val="20"/>
        </w:rPr>
      </w:pPr>
      <w:r>
        <w:rPr>
          <w:rFonts w:ascii="Arial" w:hAnsi="Arial" w:cs="Arial"/>
          <w:sz w:val="20"/>
          <w:szCs w:val="20"/>
        </w:rPr>
        <w:t>La présence de ce DA indique</w:t>
      </w:r>
      <w:r w:rsidR="00627EC8">
        <w:rPr>
          <w:rFonts w:ascii="Arial" w:hAnsi="Arial" w:cs="Arial"/>
          <w:sz w:val="20"/>
          <w:szCs w:val="20"/>
        </w:rPr>
        <w:t xml:space="preserve"> que</w:t>
      </w:r>
      <w:r>
        <w:rPr>
          <w:rFonts w:ascii="Arial" w:hAnsi="Arial" w:cs="Arial"/>
          <w:sz w:val="20"/>
          <w:szCs w:val="20"/>
        </w:rPr>
        <w:t xml:space="preserve"> le patient a eu recours</w:t>
      </w:r>
      <w:r w:rsidR="0071633D">
        <w:rPr>
          <w:rFonts w:ascii="Arial" w:hAnsi="Arial" w:cs="Arial"/>
          <w:sz w:val="20"/>
          <w:szCs w:val="20"/>
        </w:rPr>
        <w:t xml:space="preserve"> à une RCP qui a établi</w:t>
      </w:r>
      <w:r>
        <w:rPr>
          <w:rFonts w:ascii="Arial" w:hAnsi="Arial" w:cs="Arial"/>
          <w:sz w:val="20"/>
          <w:szCs w:val="20"/>
        </w:rPr>
        <w:t xml:space="preserve"> le niveau complexe de l’infection. D’après </w:t>
      </w:r>
      <w:hyperlink r:id="rId9" w:history="1">
        <w:r w:rsidRPr="0073009E">
          <w:rPr>
            <w:rStyle w:val="Lienhypertexte"/>
            <w:rFonts w:ascii="Arial" w:hAnsi="Arial" w:cs="Arial"/>
            <w:sz w:val="20"/>
            <w:szCs w:val="20"/>
          </w:rPr>
          <w:t>le guide méthodologique</w:t>
        </w:r>
      </w:hyperlink>
      <w:r>
        <w:rPr>
          <w:rFonts w:ascii="Arial" w:hAnsi="Arial" w:cs="Arial"/>
          <w:sz w:val="20"/>
          <w:szCs w:val="20"/>
        </w:rPr>
        <w:t>, le DA « </w:t>
      </w:r>
      <w:r w:rsidRPr="00D64FD0">
        <w:rPr>
          <w:rFonts w:ascii="Arial" w:hAnsi="Arial" w:cs="Arial"/>
          <w:sz w:val="20"/>
          <w:szCs w:val="20"/>
        </w:rPr>
        <w:t xml:space="preserve">doit être porté dans les RSS de tous les séjours ultérieurs du patient </w:t>
      </w:r>
      <w:r w:rsidRPr="00837EEC">
        <w:rPr>
          <w:rFonts w:ascii="Arial" w:hAnsi="Arial" w:cs="Arial"/>
          <w:b/>
          <w:sz w:val="20"/>
          <w:szCs w:val="20"/>
        </w:rPr>
        <w:t>motivés par la prise en charge de cette IOA complexe découlant de cette RCP</w:t>
      </w:r>
      <w:r>
        <w:rPr>
          <w:rFonts w:ascii="Arial" w:hAnsi="Arial" w:cs="Arial"/>
          <w:sz w:val="20"/>
          <w:szCs w:val="20"/>
        </w:rPr>
        <w:t xml:space="preserve"> ». </w:t>
      </w:r>
    </w:p>
    <w:p w:rsidR="009D40C6" w:rsidRDefault="009D40C6" w:rsidP="00D64FD0">
      <w:pPr>
        <w:spacing w:after="0" w:line="240" w:lineRule="auto"/>
        <w:jc w:val="both"/>
        <w:rPr>
          <w:rFonts w:ascii="Arial" w:hAnsi="Arial" w:cs="Arial"/>
          <w:sz w:val="20"/>
          <w:szCs w:val="20"/>
        </w:rPr>
      </w:pPr>
    </w:p>
    <w:p w:rsidR="009D40C6" w:rsidRDefault="009D40C6" w:rsidP="00D64FD0">
      <w:pPr>
        <w:spacing w:after="0" w:line="240" w:lineRule="auto"/>
        <w:jc w:val="both"/>
        <w:rPr>
          <w:rFonts w:ascii="Arial" w:hAnsi="Arial" w:cs="Arial"/>
          <w:sz w:val="20"/>
          <w:szCs w:val="20"/>
        </w:rPr>
      </w:pPr>
    </w:p>
    <w:p w:rsidR="00D64FD0" w:rsidRDefault="006665D0" w:rsidP="00AE4BDD">
      <w:pPr>
        <w:pStyle w:val="Paragraphedeliste"/>
        <w:numPr>
          <w:ilvl w:val="1"/>
          <w:numId w:val="7"/>
        </w:numPr>
        <w:jc w:val="both"/>
        <w:outlineLvl w:val="1"/>
        <w:rPr>
          <w:rFonts w:ascii="Arial" w:hAnsi="Arial" w:cs="Arial"/>
          <w:b/>
          <w:color w:val="514B64"/>
        </w:rPr>
      </w:pPr>
      <w:bookmarkStart w:id="27" w:name="_Toc496603316"/>
      <w:r w:rsidRPr="0071236E">
        <w:rPr>
          <w:rFonts w:ascii="Arial" w:hAnsi="Arial" w:cs="Arial"/>
          <w:b/>
          <w:color w:val="514B64"/>
        </w:rPr>
        <w:t>R</w:t>
      </w:r>
      <w:r w:rsidR="00D64FD0" w:rsidRPr="0071236E">
        <w:rPr>
          <w:rFonts w:ascii="Arial" w:hAnsi="Arial" w:cs="Arial"/>
          <w:b/>
          <w:color w:val="514B64"/>
        </w:rPr>
        <w:t>ésumé</w:t>
      </w:r>
      <w:r w:rsidR="00885464">
        <w:rPr>
          <w:rFonts w:ascii="Arial" w:hAnsi="Arial" w:cs="Arial"/>
          <w:b/>
          <w:color w:val="514B64"/>
        </w:rPr>
        <w:t xml:space="preserve"> pour les séjours traitant une IOA</w:t>
      </w:r>
      <w:bookmarkEnd w:id="27"/>
    </w:p>
    <w:p w:rsidR="00D115A9" w:rsidRPr="00AA77E8" w:rsidRDefault="00D115A9" w:rsidP="00D115A9">
      <w:pPr>
        <w:jc w:val="both"/>
        <w:rPr>
          <w:rFonts w:ascii="Arial" w:hAnsi="Arial" w:cs="Arial"/>
          <w:b/>
          <w:color w:val="0084A8"/>
          <w:sz w:val="20"/>
          <w:szCs w:val="20"/>
        </w:rPr>
      </w:pPr>
      <w:r w:rsidRPr="00AA77E8">
        <w:rPr>
          <w:rFonts w:ascii="Arial" w:hAnsi="Arial" w:cs="Arial"/>
          <w:b/>
          <w:color w:val="0084A8"/>
          <w:sz w:val="20"/>
          <w:szCs w:val="20"/>
        </w:rPr>
        <w:t xml:space="preserve">Les séjours médicaux </w:t>
      </w:r>
    </w:p>
    <w:tbl>
      <w:tblPr>
        <w:tblStyle w:val="Grilledutableau"/>
        <w:tblW w:w="9464" w:type="dxa"/>
        <w:jc w:val="center"/>
        <w:tblLook w:val="04A0" w:firstRow="1" w:lastRow="0" w:firstColumn="1" w:lastColumn="0" w:noHBand="0" w:noVBand="1"/>
      </w:tblPr>
      <w:tblGrid>
        <w:gridCol w:w="1897"/>
        <w:gridCol w:w="3544"/>
        <w:gridCol w:w="4023"/>
      </w:tblGrid>
      <w:tr w:rsidR="0027132D" w:rsidRPr="000E1838" w:rsidTr="009B545F">
        <w:trPr>
          <w:trHeight w:val="663"/>
          <w:jc w:val="center"/>
        </w:trPr>
        <w:tc>
          <w:tcPr>
            <w:tcW w:w="1897" w:type="dxa"/>
            <w:tcBorders>
              <w:bottom w:val="single" w:sz="4" w:space="0" w:color="auto"/>
            </w:tcBorders>
            <w:shd w:val="clear" w:color="auto" w:fill="C9670D"/>
            <w:vAlign w:val="center"/>
          </w:tcPr>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Période</w:t>
            </w:r>
          </w:p>
        </w:tc>
        <w:tc>
          <w:tcPr>
            <w:tcW w:w="3544" w:type="dxa"/>
            <w:shd w:val="clear" w:color="auto" w:fill="C9670D"/>
            <w:vAlign w:val="center"/>
          </w:tcPr>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 xml:space="preserve">Mars 2009 à Mars 2011 </w:t>
            </w:r>
          </w:p>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(V11 et V11b)</w:t>
            </w:r>
          </w:p>
        </w:tc>
        <w:tc>
          <w:tcPr>
            <w:tcW w:w="4023" w:type="dxa"/>
            <w:shd w:val="clear" w:color="auto" w:fill="C9670D"/>
            <w:vAlign w:val="center"/>
          </w:tcPr>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 xml:space="preserve">A partir de Mars 2011 </w:t>
            </w:r>
          </w:p>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(V11c et les suivantes)</w:t>
            </w:r>
          </w:p>
        </w:tc>
      </w:tr>
      <w:tr w:rsidR="0027132D" w:rsidRPr="005765EB" w:rsidTr="00764E05">
        <w:trPr>
          <w:trHeight w:val="998"/>
          <w:jc w:val="center"/>
        </w:trPr>
        <w:tc>
          <w:tcPr>
            <w:tcW w:w="1897" w:type="dxa"/>
            <w:tcBorders>
              <w:bottom w:val="single" w:sz="4" w:space="0" w:color="auto"/>
            </w:tcBorders>
            <w:shd w:val="clear" w:color="auto" w:fill="514B64"/>
            <w:vAlign w:val="center"/>
          </w:tcPr>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Racine</w:t>
            </w:r>
          </w:p>
          <w:p w:rsidR="0027132D" w:rsidRPr="0032550B" w:rsidRDefault="007B5CE4"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M</w:t>
            </w:r>
            <w:r w:rsidR="0027132D" w:rsidRPr="0032550B">
              <w:rPr>
                <w:rFonts w:ascii="Arial" w:hAnsi="Arial" w:cs="Arial"/>
                <w:b/>
                <w:color w:val="FFFFFF" w:themeColor="background1"/>
                <w:sz w:val="18"/>
                <w:szCs w:val="18"/>
              </w:rPr>
              <w:t>édicale</w:t>
            </w:r>
            <w:r w:rsidRPr="0032550B">
              <w:rPr>
                <w:rFonts w:ascii="Arial" w:hAnsi="Arial" w:cs="Arial"/>
                <w:b/>
                <w:color w:val="FFFFFF" w:themeColor="background1"/>
                <w:sz w:val="18"/>
                <w:szCs w:val="18"/>
              </w:rPr>
              <w:t xml:space="preserve"> IOA</w:t>
            </w:r>
          </w:p>
        </w:tc>
        <w:tc>
          <w:tcPr>
            <w:tcW w:w="3544" w:type="dxa"/>
            <w:tcBorders>
              <w:bottom w:val="single" w:sz="4" w:space="0" w:color="auto"/>
            </w:tcBorders>
            <w:vAlign w:val="center"/>
          </w:tcPr>
          <w:p w:rsidR="0027132D" w:rsidRPr="0032550B" w:rsidRDefault="0027132D" w:rsidP="009B545F">
            <w:pPr>
              <w:jc w:val="center"/>
              <w:rPr>
                <w:rFonts w:ascii="Arial" w:hAnsi="Arial" w:cs="Arial"/>
                <w:sz w:val="18"/>
                <w:szCs w:val="18"/>
              </w:rPr>
            </w:pPr>
            <w:r w:rsidRPr="0032550B">
              <w:rPr>
                <w:rFonts w:ascii="Arial" w:hAnsi="Arial" w:cs="Arial"/>
                <w:sz w:val="18"/>
                <w:szCs w:val="18"/>
              </w:rPr>
              <w:t xml:space="preserve">Création de 2 racines médicales </w:t>
            </w:r>
          </w:p>
          <w:p w:rsidR="0027132D" w:rsidRPr="0032550B" w:rsidRDefault="0027132D" w:rsidP="009B545F">
            <w:pPr>
              <w:jc w:val="center"/>
              <w:rPr>
                <w:rFonts w:ascii="Arial" w:hAnsi="Arial" w:cs="Arial"/>
                <w:sz w:val="18"/>
                <w:szCs w:val="18"/>
              </w:rPr>
            </w:pPr>
            <w:r w:rsidRPr="0032550B">
              <w:rPr>
                <w:rFonts w:ascii="Arial" w:hAnsi="Arial" w:cs="Arial"/>
                <w:sz w:val="18"/>
                <w:szCs w:val="18"/>
              </w:rPr>
              <w:t>08M31 et 08M32 à partir de la V11</w:t>
            </w:r>
          </w:p>
        </w:tc>
        <w:tc>
          <w:tcPr>
            <w:tcW w:w="4023" w:type="dxa"/>
            <w:vAlign w:val="center"/>
          </w:tcPr>
          <w:p w:rsidR="0027132D" w:rsidRPr="0032550B" w:rsidRDefault="0027132D" w:rsidP="009B545F">
            <w:pPr>
              <w:jc w:val="center"/>
              <w:rPr>
                <w:rFonts w:ascii="Arial" w:hAnsi="Arial" w:cs="Arial"/>
                <w:sz w:val="18"/>
                <w:szCs w:val="18"/>
              </w:rPr>
            </w:pPr>
            <w:r w:rsidRPr="0032550B">
              <w:rPr>
                <w:rFonts w:ascii="Arial" w:hAnsi="Arial" w:cs="Arial"/>
                <w:sz w:val="18"/>
                <w:szCs w:val="18"/>
              </w:rPr>
              <w:t>Racine 08M31 et 08M32</w:t>
            </w:r>
          </w:p>
        </w:tc>
      </w:tr>
      <w:tr w:rsidR="0027132D" w:rsidRPr="005765EB" w:rsidTr="009B545F">
        <w:trPr>
          <w:trHeight w:val="1396"/>
          <w:jc w:val="center"/>
        </w:trPr>
        <w:tc>
          <w:tcPr>
            <w:tcW w:w="1897" w:type="dxa"/>
            <w:shd w:val="clear" w:color="auto" w:fill="514B64"/>
            <w:vAlign w:val="center"/>
          </w:tcPr>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 xml:space="preserve">Type d’autorisation médicale </w:t>
            </w:r>
          </w:p>
        </w:tc>
        <w:tc>
          <w:tcPr>
            <w:tcW w:w="3544" w:type="dxa"/>
            <w:shd w:val="clear" w:color="auto" w:fill="auto"/>
            <w:vAlign w:val="center"/>
          </w:tcPr>
          <w:p w:rsidR="0027132D" w:rsidRPr="0032550B" w:rsidRDefault="0027132D" w:rsidP="009B545F">
            <w:pPr>
              <w:jc w:val="center"/>
              <w:rPr>
                <w:rFonts w:ascii="Arial" w:hAnsi="Arial" w:cs="Arial"/>
                <w:sz w:val="18"/>
                <w:szCs w:val="18"/>
              </w:rPr>
            </w:pPr>
            <w:r w:rsidRPr="0032550B">
              <w:rPr>
                <w:rFonts w:ascii="Arial" w:hAnsi="Arial" w:cs="Arial"/>
                <w:sz w:val="18"/>
                <w:szCs w:val="18"/>
              </w:rPr>
              <w:t xml:space="preserve">Type d’autorisation «30 : Centre identifié pour la prise en charge des infections ostéoarticulaires » rattaché à </w:t>
            </w:r>
            <w:r w:rsidRPr="0032550B">
              <w:rPr>
                <w:rFonts w:ascii="Arial" w:hAnsi="Arial" w:cs="Arial"/>
                <w:b/>
                <w:sz w:val="18"/>
                <w:szCs w:val="18"/>
              </w:rPr>
              <w:t>l’unité médicale</w:t>
            </w:r>
            <w:r w:rsidRPr="0032550B">
              <w:rPr>
                <w:rFonts w:ascii="Arial" w:hAnsi="Arial" w:cs="Arial"/>
                <w:sz w:val="18"/>
                <w:szCs w:val="18"/>
              </w:rPr>
              <w:t xml:space="preserve"> </w:t>
            </w:r>
          </w:p>
        </w:tc>
        <w:tc>
          <w:tcPr>
            <w:tcW w:w="4023" w:type="dxa"/>
            <w:vAlign w:val="center"/>
          </w:tcPr>
          <w:p w:rsidR="0027132D" w:rsidRPr="0032550B" w:rsidRDefault="0027132D" w:rsidP="009B545F">
            <w:pPr>
              <w:jc w:val="center"/>
              <w:rPr>
                <w:rFonts w:ascii="Arial" w:hAnsi="Arial" w:cs="Arial"/>
                <w:b/>
                <w:sz w:val="18"/>
                <w:szCs w:val="18"/>
              </w:rPr>
            </w:pPr>
            <w:r w:rsidRPr="0032550B">
              <w:rPr>
                <w:rFonts w:ascii="Arial" w:hAnsi="Arial" w:cs="Arial"/>
                <w:sz w:val="18"/>
                <w:szCs w:val="18"/>
              </w:rPr>
              <w:t xml:space="preserve">Type d’autorisation </w:t>
            </w:r>
            <w:r w:rsidRPr="0032550B">
              <w:rPr>
                <w:rFonts w:ascii="Arial" w:hAnsi="Arial" w:cs="Arial"/>
                <w:b/>
                <w:sz w:val="18"/>
                <w:szCs w:val="18"/>
              </w:rPr>
              <w:t>globale</w:t>
            </w:r>
            <w:r w:rsidRPr="0032550B">
              <w:rPr>
                <w:rFonts w:ascii="Arial" w:hAnsi="Arial" w:cs="Arial"/>
                <w:sz w:val="18"/>
                <w:szCs w:val="18"/>
              </w:rPr>
              <w:t xml:space="preserve"> «30» rattaché à</w:t>
            </w:r>
            <w:r w:rsidRPr="0032550B">
              <w:rPr>
                <w:rFonts w:ascii="Arial" w:hAnsi="Arial" w:cs="Arial"/>
                <w:b/>
                <w:sz w:val="18"/>
                <w:szCs w:val="18"/>
              </w:rPr>
              <w:t xml:space="preserve"> l’établissement</w:t>
            </w:r>
            <w:r w:rsidRPr="0032550B">
              <w:rPr>
                <w:rFonts w:ascii="Arial" w:hAnsi="Arial" w:cs="Arial"/>
                <w:sz w:val="18"/>
                <w:szCs w:val="18"/>
              </w:rPr>
              <w:t xml:space="preserve"> </w:t>
            </w:r>
          </w:p>
        </w:tc>
      </w:tr>
      <w:tr w:rsidR="0027132D" w:rsidRPr="005765EB" w:rsidTr="009B545F">
        <w:trPr>
          <w:trHeight w:val="1823"/>
          <w:jc w:val="center"/>
        </w:trPr>
        <w:tc>
          <w:tcPr>
            <w:tcW w:w="1897" w:type="dxa"/>
            <w:shd w:val="clear" w:color="auto" w:fill="514B64"/>
            <w:vAlign w:val="center"/>
          </w:tcPr>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IOA Complexe</w:t>
            </w:r>
          </w:p>
        </w:tc>
        <w:tc>
          <w:tcPr>
            <w:tcW w:w="3544" w:type="dxa"/>
            <w:shd w:val="clear" w:color="auto" w:fill="auto"/>
            <w:vAlign w:val="center"/>
          </w:tcPr>
          <w:p w:rsidR="0027132D" w:rsidRPr="0032550B" w:rsidRDefault="0027132D" w:rsidP="009B545F">
            <w:pPr>
              <w:jc w:val="center"/>
              <w:rPr>
                <w:rFonts w:ascii="Arial" w:hAnsi="Arial" w:cs="Arial"/>
                <w:sz w:val="18"/>
                <w:szCs w:val="18"/>
              </w:rPr>
            </w:pPr>
            <w:r w:rsidRPr="0032550B">
              <w:rPr>
                <w:rFonts w:ascii="Arial" w:hAnsi="Arial" w:cs="Arial"/>
                <w:sz w:val="18"/>
                <w:szCs w:val="18"/>
              </w:rPr>
              <w:t>Séjour avec au moins un passage par une UM avec un type d’autorisation « 30 »</w:t>
            </w:r>
          </w:p>
        </w:tc>
        <w:tc>
          <w:tcPr>
            <w:tcW w:w="4023" w:type="dxa"/>
            <w:vAlign w:val="center"/>
          </w:tcPr>
          <w:p w:rsidR="0027132D" w:rsidRPr="0032550B" w:rsidRDefault="0027132D" w:rsidP="009B545F">
            <w:pPr>
              <w:jc w:val="center"/>
              <w:rPr>
                <w:rFonts w:ascii="Arial" w:hAnsi="Arial" w:cs="Arial"/>
                <w:sz w:val="18"/>
                <w:szCs w:val="18"/>
              </w:rPr>
            </w:pPr>
            <w:r w:rsidRPr="0032550B">
              <w:rPr>
                <w:rFonts w:ascii="Arial" w:hAnsi="Arial" w:cs="Arial"/>
                <w:sz w:val="18"/>
                <w:szCs w:val="18"/>
              </w:rPr>
              <w:t xml:space="preserve">Séjour se déroulant dans un établissement disposant d’un type d’autorisation global « 30 » dont les dates sont en cours de validité et ayant un DA </w:t>
            </w:r>
            <w:r w:rsidRPr="0032550B">
              <w:rPr>
                <w:rFonts w:ascii="Arial" w:hAnsi="Arial" w:cs="Arial"/>
                <w:b/>
                <w:sz w:val="18"/>
                <w:szCs w:val="18"/>
              </w:rPr>
              <w:t>DAS Z76.800</w:t>
            </w:r>
            <w:r w:rsidRPr="0032550B">
              <w:rPr>
                <w:rFonts w:ascii="Arial" w:hAnsi="Arial" w:cs="Arial"/>
                <w:sz w:val="18"/>
                <w:szCs w:val="18"/>
              </w:rPr>
              <w:t xml:space="preserve"> Sujet ayant recours aux services de santé après une réunion de concertation pluridisciplinaire [RCP] ayant établi la complexité d'une infection ostéoarticulaire</w:t>
            </w:r>
          </w:p>
        </w:tc>
      </w:tr>
      <w:tr w:rsidR="0027132D" w:rsidRPr="005765EB" w:rsidTr="00F31EEB">
        <w:trPr>
          <w:trHeight w:val="1255"/>
          <w:jc w:val="center"/>
        </w:trPr>
        <w:tc>
          <w:tcPr>
            <w:tcW w:w="1897" w:type="dxa"/>
            <w:shd w:val="clear" w:color="auto" w:fill="514B64"/>
            <w:vAlign w:val="center"/>
          </w:tcPr>
          <w:p w:rsidR="0027132D" w:rsidRPr="0032550B" w:rsidRDefault="0027132D" w:rsidP="009B545F">
            <w:pPr>
              <w:jc w:val="center"/>
              <w:rPr>
                <w:rFonts w:ascii="Arial" w:hAnsi="Arial" w:cs="Arial"/>
                <w:color w:val="FFFFFF" w:themeColor="background1"/>
                <w:sz w:val="18"/>
                <w:szCs w:val="18"/>
              </w:rPr>
            </w:pPr>
            <w:r w:rsidRPr="0032550B">
              <w:rPr>
                <w:rFonts w:ascii="Arial" w:hAnsi="Arial" w:cs="Arial"/>
                <w:b/>
                <w:color w:val="FFFFFF" w:themeColor="background1"/>
                <w:sz w:val="18"/>
                <w:szCs w:val="18"/>
              </w:rPr>
              <w:t>Quel type de centre peut traiter des IOA complexes</w:t>
            </w:r>
            <w:r w:rsidRPr="0032550B">
              <w:rPr>
                <w:rFonts w:ascii="Arial" w:hAnsi="Arial" w:cs="Arial"/>
                <w:color w:val="FFFFFF" w:themeColor="background1"/>
                <w:sz w:val="18"/>
                <w:szCs w:val="18"/>
              </w:rPr>
              <w:t> </w:t>
            </w:r>
            <w:r w:rsidRPr="0032550B">
              <w:rPr>
                <w:rFonts w:ascii="Arial" w:hAnsi="Arial" w:cs="Arial"/>
                <w:b/>
                <w:color w:val="FFFFFF" w:themeColor="background1"/>
                <w:sz w:val="18"/>
                <w:szCs w:val="18"/>
              </w:rPr>
              <w:t>?</w:t>
            </w:r>
          </w:p>
        </w:tc>
        <w:tc>
          <w:tcPr>
            <w:tcW w:w="3544" w:type="dxa"/>
            <w:shd w:val="clear" w:color="auto" w:fill="auto"/>
            <w:vAlign w:val="center"/>
          </w:tcPr>
          <w:p w:rsidR="0027132D" w:rsidRPr="0032550B" w:rsidRDefault="0027132D" w:rsidP="009B545F">
            <w:pPr>
              <w:jc w:val="center"/>
              <w:rPr>
                <w:rFonts w:ascii="Arial" w:hAnsi="Arial" w:cs="Arial"/>
                <w:sz w:val="18"/>
                <w:szCs w:val="18"/>
              </w:rPr>
            </w:pPr>
            <w:r w:rsidRPr="0032550B">
              <w:rPr>
                <w:rFonts w:ascii="Arial" w:hAnsi="Arial" w:cs="Arial"/>
                <w:sz w:val="18"/>
                <w:szCs w:val="18"/>
              </w:rPr>
              <w:t>Centre de référence qui a une autorisation « 30 »</w:t>
            </w:r>
          </w:p>
        </w:tc>
        <w:tc>
          <w:tcPr>
            <w:tcW w:w="4023" w:type="dxa"/>
            <w:vAlign w:val="center"/>
          </w:tcPr>
          <w:p w:rsidR="0027132D" w:rsidRPr="0032550B" w:rsidRDefault="0027132D" w:rsidP="009B545F">
            <w:pPr>
              <w:jc w:val="center"/>
              <w:rPr>
                <w:rFonts w:ascii="Arial" w:hAnsi="Arial" w:cs="Arial"/>
                <w:sz w:val="18"/>
                <w:szCs w:val="18"/>
              </w:rPr>
            </w:pPr>
            <w:r w:rsidRPr="0032550B">
              <w:rPr>
                <w:rFonts w:ascii="Arial" w:hAnsi="Arial" w:cs="Arial"/>
                <w:sz w:val="18"/>
                <w:szCs w:val="18"/>
              </w:rPr>
              <w:t>Centre de référence et Centre correspondant avec une autorisation globale « 30 »</w:t>
            </w:r>
          </w:p>
        </w:tc>
      </w:tr>
      <w:tr w:rsidR="0027132D" w:rsidRPr="005765EB" w:rsidTr="00F31EEB">
        <w:trPr>
          <w:trHeight w:val="1274"/>
          <w:jc w:val="center"/>
        </w:trPr>
        <w:tc>
          <w:tcPr>
            <w:tcW w:w="1897" w:type="dxa"/>
            <w:shd w:val="clear" w:color="auto" w:fill="514B64"/>
            <w:vAlign w:val="center"/>
          </w:tcPr>
          <w:p w:rsidR="0027132D" w:rsidRPr="0032550B" w:rsidRDefault="00B36CB0" w:rsidP="00756E7C">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GHS majoré</w:t>
            </w:r>
          </w:p>
        </w:tc>
        <w:tc>
          <w:tcPr>
            <w:tcW w:w="3544" w:type="dxa"/>
            <w:vAlign w:val="center"/>
          </w:tcPr>
          <w:p w:rsidR="0027132D" w:rsidRPr="0032550B" w:rsidRDefault="00F31EEB" w:rsidP="00F31EEB">
            <w:pPr>
              <w:jc w:val="center"/>
              <w:rPr>
                <w:rFonts w:ascii="Arial" w:hAnsi="Arial" w:cs="Arial"/>
                <w:sz w:val="18"/>
                <w:szCs w:val="18"/>
              </w:rPr>
            </w:pPr>
            <w:r w:rsidRPr="0032550B">
              <w:rPr>
                <w:rFonts w:ascii="Arial" w:hAnsi="Arial" w:cs="Arial"/>
                <w:sz w:val="18"/>
                <w:szCs w:val="18"/>
              </w:rPr>
              <w:t>Pas de GHS majoré pour les séjours médicaux</w:t>
            </w:r>
          </w:p>
        </w:tc>
        <w:tc>
          <w:tcPr>
            <w:tcW w:w="4023" w:type="dxa"/>
            <w:vAlign w:val="center"/>
          </w:tcPr>
          <w:p w:rsidR="0027132D" w:rsidRPr="0032550B" w:rsidRDefault="00F31EEB" w:rsidP="00F31EEB">
            <w:pPr>
              <w:jc w:val="center"/>
              <w:rPr>
                <w:rFonts w:ascii="Arial" w:hAnsi="Arial" w:cs="Arial"/>
                <w:sz w:val="18"/>
                <w:szCs w:val="18"/>
              </w:rPr>
            </w:pPr>
            <w:r w:rsidRPr="0032550B">
              <w:rPr>
                <w:rFonts w:ascii="Arial" w:hAnsi="Arial" w:cs="Arial"/>
                <w:sz w:val="18"/>
                <w:szCs w:val="18"/>
              </w:rPr>
              <w:t>Pas de GHS majoré pour les séjours médicaux</w:t>
            </w:r>
          </w:p>
        </w:tc>
      </w:tr>
    </w:tbl>
    <w:p w:rsidR="0027132D" w:rsidRDefault="0027132D" w:rsidP="00D64FD0">
      <w:pPr>
        <w:jc w:val="both"/>
        <w:rPr>
          <w:rFonts w:ascii="Arial" w:hAnsi="Arial" w:cs="Arial"/>
          <w:sz w:val="20"/>
          <w:szCs w:val="20"/>
          <w:u w:val="single"/>
        </w:rPr>
      </w:pPr>
    </w:p>
    <w:p w:rsidR="0064298E" w:rsidRDefault="0064298E" w:rsidP="00D64FD0">
      <w:pPr>
        <w:jc w:val="both"/>
        <w:rPr>
          <w:rFonts w:ascii="Arial" w:hAnsi="Arial" w:cs="Arial"/>
          <w:sz w:val="20"/>
          <w:szCs w:val="20"/>
          <w:u w:val="single"/>
        </w:rPr>
      </w:pPr>
    </w:p>
    <w:p w:rsidR="0064298E" w:rsidRDefault="007F4460" w:rsidP="007F4460">
      <w:pPr>
        <w:jc w:val="both"/>
        <w:rPr>
          <w:rFonts w:ascii="Arial" w:hAnsi="Arial" w:cs="Arial"/>
          <w:sz w:val="20"/>
          <w:szCs w:val="20"/>
          <w:u w:val="single"/>
        </w:rPr>
      </w:pPr>
      <w:r w:rsidRPr="00AA77E8">
        <w:rPr>
          <w:rFonts w:ascii="Arial" w:hAnsi="Arial" w:cs="Arial"/>
          <w:b/>
          <w:color w:val="0084A8"/>
          <w:sz w:val="20"/>
          <w:szCs w:val="20"/>
        </w:rPr>
        <w:t>Les séjours chirurgicaux</w:t>
      </w:r>
    </w:p>
    <w:tbl>
      <w:tblPr>
        <w:tblStyle w:val="Grilledutableau"/>
        <w:tblpPr w:leftFromText="141" w:rightFromText="141" w:vertAnchor="page" w:horzAnchor="margin" w:tblpXSpec="center" w:tblpY="2776"/>
        <w:tblW w:w="10485" w:type="dxa"/>
        <w:tblLook w:val="04A0" w:firstRow="1" w:lastRow="0" w:firstColumn="1" w:lastColumn="0" w:noHBand="0" w:noVBand="1"/>
      </w:tblPr>
      <w:tblGrid>
        <w:gridCol w:w="1897"/>
        <w:gridCol w:w="2493"/>
        <w:gridCol w:w="2976"/>
        <w:gridCol w:w="3119"/>
      </w:tblGrid>
      <w:tr w:rsidR="000A682F" w:rsidRPr="000E1838" w:rsidTr="000A682F">
        <w:trPr>
          <w:trHeight w:val="663"/>
        </w:trPr>
        <w:tc>
          <w:tcPr>
            <w:tcW w:w="1897" w:type="dxa"/>
            <w:tcBorders>
              <w:bottom w:val="single" w:sz="4" w:space="0" w:color="auto"/>
            </w:tcBorders>
            <w:shd w:val="clear" w:color="auto" w:fill="C9670D"/>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lastRenderedPageBreak/>
              <w:t>Période</w:t>
            </w:r>
          </w:p>
        </w:tc>
        <w:tc>
          <w:tcPr>
            <w:tcW w:w="2493" w:type="dxa"/>
            <w:shd w:val="clear" w:color="auto" w:fill="C9670D"/>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 xml:space="preserve">Mars 2009 à Mars 2011 </w:t>
            </w:r>
          </w:p>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(V11 et V11b)</w:t>
            </w:r>
          </w:p>
        </w:tc>
        <w:tc>
          <w:tcPr>
            <w:tcW w:w="2976" w:type="dxa"/>
            <w:shd w:val="clear" w:color="auto" w:fill="C9670D"/>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Mars 2011 à Mars 2015</w:t>
            </w:r>
          </w:p>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(V11c à V11f)</w:t>
            </w:r>
          </w:p>
        </w:tc>
        <w:tc>
          <w:tcPr>
            <w:tcW w:w="3119" w:type="dxa"/>
            <w:shd w:val="clear" w:color="auto" w:fill="C9670D"/>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 xml:space="preserve">À partir de Mars 2015 </w:t>
            </w:r>
          </w:p>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(V11g et les suivantes</w:t>
            </w:r>
          </w:p>
        </w:tc>
      </w:tr>
      <w:tr w:rsidR="000A682F" w:rsidRPr="005765EB" w:rsidTr="000A682F">
        <w:trPr>
          <w:trHeight w:val="998"/>
        </w:trPr>
        <w:tc>
          <w:tcPr>
            <w:tcW w:w="1897" w:type="dxa"/>
            <w:shd w:val="clear" w:color="auto" w:fill="514B64"/>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Racine</w:t>
            </w:r>
          </w:p>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Chirurgicale IOA</w:t>
            </w:r>
          </w:p>
        </w:tc>
        <w:tc>
          <w:tcPr>
            <w:tcW w:w="2493" w:type="dxa"/>
            <w:tcBorders>
              <w:bottom w:val="single" w:sz="4" w:space="0" w:color="auto"/>
            </w:tcBorders>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 xml:space="preserve">Création d’une racine </w:t>
            </w:r>
          </w:p>
          <w:p w:rsidR="000A682F" w:rsidRPr="0032550B" w:rsidRDefault="000A682F" w:rsidP="000A682F">
            <w:pPr>
              <w:jc w:val="center"/>
              <w:rPr>
                <w:rFonts w:ascii="Arial" w:hAnsi="Arial" w:cs="Arial"/>
                <w:sz w:val="18"/>
                <w:szCs w:val="18"/>
              </w:rPr>
            </w:pPr>
            <w:r w:rsidRPr="0032550B">
              <w:rPr>
                <w:rFonts w:ascii="Arial" w:hAnsi="Arial" w:cs="Arial"/>
                <w:sz w:val="18"/>
                <w:szCs w:val="18"/>
              </w:rPr>
              <w:t>chirurgicale « IOA » 08C56 à partir de la V11</w:t>
            </w:r>
          </w:p>
        </w:tc>
        <w:tc>
          <w:tcPr>
            <w:tcW w:w="2976" w:type="dxa"/>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Racine « IOA » 08C56</w:t>
            </w:r>
          </w:p>
        </w:tc>
        <w:tc>
          <w:tcPr>
            <w:tcW w:w="3119" w:type="dxa"/>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Racine « IOA » 08C61 et 08C62</w:t>
            </w:r>
          </w:p>
        </w:tc>
      </w:tr>
      <w:tr w:rsidR="000A682F" w:rsidRPr="005765EB" w:rsidTr="00764E05">
        <w:trPr>
          <w:trHeight w:val="1396"/>
        </w:trPr>
        <w:tc>
          <w:tcPr>
            <w:tcW w:w="1897" w:type="dxa"/>
            <w:tcBorders>
              <w:bottom w:val="single" w:sz="4" w:space="0" w:color="auto"/>
            </w:tcBorders>
            <w:shd w:val="clear" w:color="auto" w:fill="514B64"/>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 xml:space="preserve">Type d’autorisation médicale </w:t>
            </w:r>
          </w:p>
        </w:tc>
        <w:tc>
          <w:tcPr>
            <w:tcW w:w="2493" w:type="dxa"/>
            <w:shd w:val="clear" w:color="auto" w:fill="auto"/>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 xml:space="preserve">Type d’autorisation «30 : Centre identifié pour la prise en charge des infections ostéoarticulaires » rattaché à </w:t>
            </w:r>
            <w:r w:rsidRPr="0032550B">
              <w:rPr>
                <w:rFonts w:ascii="Arial" w:hAnsi="Arial" w:cs="Arial"/>
                <w:b/>
                <w:sz w:val="18"/>
                <w:szCs w:val="18"/>
              </w:rPr>
              <w:t>l’unité médicale</w:t>
            </w:r>
            <w:r w:rsidRPr="0032550B">
              <w:rPr>
                <w:rFonts w:ascii="Arial" w:hAnsi="Arial" w:cs="Arial"/>
                <w:sz w:val="18"/>
                <w:szCs w:val="18"/>
              </w:rPr>
              <w:t xml:space="preserve"> </w:t>
            </w:r>
          </w:p>
        </w:tc>
        <w:tc>
          <w:tcPr>
            <w:tcW w:w="2976" w:type="dxa"/>
            <w:vAlign w:val="center"/>
          </w:tcPr>
          <w:p w:rsidR="000A682F" w:rsidRPr="0032550B" w:rsidRDefault="000A682F" w:rsidP="000A682F">
            <w:pPr>
              <w:jc w:val="center"/>
              <w:rPr>
                <w:rFonts w:ascii="Arial" w:hAnsi="Arial" w:cs="Arial"/>
                <w:b/>
                <w:sz w:val="18"/>
                <w:szCs w:val="18"/>
              </w:rPr>
            </w:pPr>
            <w:r w:rsidRPr="0032550B">
              <w:rPr>
                <w:rFonts w:ascii="Arial" w:hAnsi="Arial" w:cs="Arial"/>
                <w:sz w:val="18"/>
                <w:szCs w:val="18"/>
              </w:rPr>
              <w:t xml:space="preserve">Type d’autorisation </w:t>
            </w:r>
            <w:r w:rsidRPr="0032550B">
              <w:rPr>
                <w:rFonts w:ascii="Arial" w:hAnsi="Arial" w:cs="Arial"/>
                <w:b/>
                <w:sz w:val="18"/>
                <w:szCs w:val="18"/>
              </w:rPr>
              <w:t>globale</w:t>
            </w:r>
            <w:r w:rsidRPr="0032550B">
              <w:rPr>
                <w:rFonts w:ascii="Arial" w:hAnsi="Arial" w:cs="Arial"/>
                <w:sz w:val="18"/>
                <w:szCs w:val="18"/>
              </w:rPr>
              <w:t xml:space="preserve"> «30» rattaché à</w:t>
            </w:r>
            <w:r w:rsidRPr="0032550B">
              <w:rPr>
                <w:rFonts w:ascii="Arial" w:hAnsi="Arial" w:cs="Arial"/>
                <w:b/>
                <w:sz w:val="18"/>
                <w:szCs w:val="18"/>
              </w:rPr>
              <w:t xml:space="preserve"> l’établissement</w:t>
            </w:r>
            <w:r w:rsidRPr="0032550B">
              <w:rPr>
                <w:rFonts w:ascii="Arial" w:hAnsi="Arial" w:cs="Arial"/>
                <w:sz w:val="18"/>
                <w:szCs w:val="18"/>
              </w:rPr>
              <w:t xml:space="preserve"> </w:t>
            </w:r>
          </w:p>
        </w:tc>
        <w:tc>
          <w:tcPr>
            <w:tcW w:w="3119" w:type="dxa"/>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 xml:space="preserve">Type d’autorisation </w:t>
            </w:r>
            <w:r w:rsidRPr="0032550B">
              <w:rPr>
                <w:rFonts w:ascii="Arial" w:hAnsi="Arial" w:cs="Arial"/>
                <w:b/>
                <w:sz w:val="18"/>
                <w:szCs w:val="18"/>
              </w:rPr>
              <w:t>globale</w:t>
            </w:r>
            <w:r w:rsidRPr="0032550B">
              <w:rPr>
                <w:rFonts w:ascii="Arial" w:hAnsi="Arial" w:cs="Arial"/>
                <w:sz w:val="18"/>
                <w:szCs w:val="18"/>
              </w:rPr>
              <w:t xml:space="preserve"> «30» rattaché à</w:t>
            </w:r>
            <w:r w:rsidRPr="0032550B">
              <w:rPr>
                <w:rFonts w:ascii="Arial" w:hAnsi="Arial" w:cs="Arial"/>
                <w:b/>
                <w:sz w:val="18"/>
                <w:szCs w:val="18"/>
              </w:rPr>
              <w:t xml:space="preserve"> l’établissement</w:t>
            </w:r>
          </w:p>
        </w:tc>
      </w:tr>
      <w:tr w:rsidR="000A682F" w:rsidRPr="005765EB" w:rsidTr="000A682F">
        <w:trPr>
          <w:trHeight w:val="1823"/>
        </w:trPr>
        <w:tc>
          <w:tcPr>
            <w:tcW w:w="1897" w:type="dxa"/>
            <w:shd w:val="clear" w:color="auto" w:fill="514B64"/>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IOA Complexe</w:t>
            </w:r>
          </w:p>
        </w:tc>
        <w:tc>
          <w:tcPr>
            <w:tcW w:w="2493" w:type="dxa"/>
            <w:shd w:val="clear" w:color="auto" w:fill="auto"/>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Séjour avec au moins un passage par une UM avec un type d’autorisation « 30 »</w:t>
            </w:r>
          </w:p>
        </w:tc>
        <w:tc>
          <w:tcPr>
            <w:tcW w:w="2976" w:type="dxa"/>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 xml:space="preserve">Séjour se déroulant dans un établissement disposant d’un type d’autorisation global « 30 » dont les dates sont en cours de validité et ayant un DA </w:t>
            </w:r>
            <w:r w:rsidRPr="0032550B">
              <w:rPr>
                <w:rFonts w:ascii="Arial" w:hAnsi="Arial" w:cs="Arial"/>
                <w:b/>
                <w:sz w:val="18"/>
                <w:szCs w:val="18"/>
              </w:rPr>
              <w:t>DAS Z76.800</w:t>
            </w:r>
          </w:p>
        </w:tc>
        <w:tc>
          <w:tcPr>
            <w:tcW w:w="3119" w:type="dxa"/>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 xml:space="preserve">Séjour se déroulant dans un établissement disposant d’un type d’autorisation global « 30 » dont les dates sont en cours de validité et ayant un DA </w:t>
            </w:r>
            <w:r w:rsidRPr="0032550B">
              <w:rPr>
                <w:rFonts w:ascii="Arial" w:hAnsi="Arial" w:cs="Arial"/>
                <w:b/>
                <w:sz w:val="18"/>
                <w:szCs w:val="18"/>
              </w:rPr>
              <w:t>DAS Z76.800</w:t>
            </w:r>
          </w:p>
        </w:tc>
      </w:tr>
      <w:tr w:rsidR="000A682F" w:rsidRPr="005765EB" w:rsidTr="000A682F">
        <w:trPr>
          <w:trHeight w:val="1396"/>
        </w:trPr>
        <w:tc>
          <w:tcPr>
            <w:tcW w:w="1897" w:type="dxa"/>
            <w:shd w:val="clear" w:color="auto" w:fill="514B64"/>
            <w:vAlign w:val="center"/>
          </w:tcPr>
          <w:p w:rsidR="000A682F" w:rsidRPr="0032550B" w:rsidRDefault="000A682F" w:rsidP="000A682F">
            <w:pPr>
              <w:jc w:val="center"/>
              <w:rPr>
                <w:rFonts w:ascii="Arial" w:hAnsi="Arial" w:cs="Arial"/>
                <w:color w:val="FFFFFF" w:themeColor="background1"/>
                <w:sz w:val="18"/>
                <w:szCs w:val="18"/>
              </w:rPr>
            </w:pPr>
            <w:r w:rsidRPr="0032550B">
              <w:rPr>
                <w:rFonts w:ascii="Arial" w:hAnsi="Arial" w:cs="Arial"/>
                <w:b/>
                <w:color w:val="FFFFFF" w:themeColor="background1"/>
                <w:sz w:val="18"/>
                <w:szCs w:val="18"/>
              </w:rPr>
              <w:t>Quel type de centre peut traiter des IOA complexes</w:t>
            </w:r>
            <w:r w:rsidRPr="0032550B">
              <w:rPr>
                <w:rFonts w:ascii="Arial" w:hAnsi="Arial" w:cs="Arial"/>
                <w:color w:val="FFFFFF" w:themeColor="background1"/>
                <w:sz w:val="18"/>
                <w:szCs w:val="18"/>
              </w:rPr>
              <w:t> </w:t>
            </w:r>
            <w:r w:rsidRPr="0032550B">
              <w:rPr>
                <w:rFonts w:ascii="Arial" w:hAnsi="Arial" w:cs="Arial"/>
                <w:b/>
                <w:color w:val="FFFFFF" w:themeColor="background1"/>
                <w:sz w:val="18"/>
                <w:szCs w:val="18"/>
              </w:rPr>
              <w:t>?</w:t>
            </w:r>
          </w:p>
        </w:tc>
        <w:tc>
          <w:tcPr>
            <w:tcW w:w="2493" w:type="dxa"/>
            <w:shd w:val="clear" w:color="auto" w:fill="auto"/>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Centre de référence qui a une autorisation « 30 »</w:t>
            </w:r>
          </w:p>
        </w:tc>
        <w:tc>
          <w:tcPr>
            <w:tcW w:w="2976" w:type="dxa"/>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Centre de référence et Centre correspondant avec une autorisation globale « 30 »</w:t>
            </w:r>
          </w:p>
        </w:tc>
        <w:tc>
          <w:tcPr>
            <w:tcW w:w="3119" w:type="dxa"/>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Centre de référence et Centre correspondant avec une autorisation globale « 30 »</w:t>
            </w:r>
          </w:p>
        </w:tc>
      </w:tr>
      <w:tr w:rsidR="000A682F" w:rsidRPr="005765EB" w:rsidTr="000A682F">
        <w:trPr>
          <w:trHeight w:val="2437"/>
        </w:trPr>
        <w:tc>
          <w:tcPr>
            <w:tcW w:w="1897" w:type="dxa"/>
            <w:shd w:val="clear" w:color="auto" w:fill="514B64"/>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GHS majoré</w:t>
            </w:r>
          </w:p>
          <w:p w:rsidR="000A682F" w:rsidRPr="0032550B" w:rsidRDefault="000A682F" w:rsidP="000A682F">
            <w:pPr>
              <w:jc w:val="center"/>
              <w:rPr>
                <w:rFonts w:ascii="Arial" w:hAnsi="Arial" w:cs="Arial"/>
                <w:b/>
                <w:color w:val="FFFFFF" w:themeColor="background1"/>
                <w:sz w:val="18"/>
                <w:szCs w:val="18"/>
              </w:rPr>
            </w:pPr>
          </w:p>
          <w:p w:rsidR="000A682F" w:rsidRPr="0032550B" w:rsidRDefault="000A682F" w:rsidP="000A682F">
            <w:pPr>
              <w:jc w:val="center"/>
              <w:rPr>
                <w:rFonts w:ascii="Arial" w:hAnsi="Arial" w:cs="Arial"/>
                <w:b/>
                <w:color w:val="BF620D"/>
                <w:sz w:val="18"/>
                <w:szCs w:val="18"/>
              </w:rPr>
            </w:pPr>
            <w:r w:rsidRPr="0032550B">
              <w:rPr>
                <w:rFonts w:ascii="Arial" w:hAnsi="Arial" w:cs="Arial"/>
                <w:b/>
                <w:color w:val="BF620D"/>
                <w:sz w:val="18"/>
                <w:szCs w:val="18"/>
              </w:rPr>
              <w:t>Règles</w:t>
            </w:r>
          </w:p>
        </w:tc>
        <w:tc>
          <w:tcPr>
            <w:tcW w:w="2493" w:type="dxa"/>
            <w:vAlign w:val="center"/>
          </w:tcPr>
          <w:p w:rsidR="000A682F" w:rsidRPr="0032550B" w:rsidRDefault="000A682F" w:rsidP="000A682F">
            <w:pPr>
              <w:rPr>
                <w:rFonts w:ascii="Arial" w:hAnsi="Arial" w:cs="Arial"/>
                <w:sz w:val="18"/>
                <w:szCs w:val="18"/>
              </w:rPr>
            </w:pPr>
            <w:r w:rsidRPr="0032550B">
              <w:rPr>
                <w:rFonts w:ascii="Arial" w:hAnsi="Arial" w:cs="Arial"/>
                <w:sz w:val="18"/>
                <w:szCs w:val="18"/>
              </w:rPr>
              <w:t>GHS majoré si :</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sz w:val="18"/>
                <w:szCs w:val="18"/>
              </w:rPr>
              <w:t>Racine 08C56</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sz w:val="18"/>
                <w:szCs w:val="18"/>
              </w:rPr>
              <w:t>Type d’autorisation « 30 » dans au moins un RUM dont les dates sont en cours de validité</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sz w:val="18"/>
                <w:szCs w:val="18"/>
              </w:rPr>
              <w:t>Centre de référence</w:t>
            </w:r>
          </w:p>
        </w:tc>
        <w:tc>
          <w:tcPr>
            <w:tcW w:w="2976" w:type="dxa"/>
            <w:vAlign w:val="center"/>
          </w:tcPr>
          <w:p w:rsidR="000A682F" w:rsidRPr="0032550B" w:rsidRDefault="000A682F" w:rsidP="000A682F">
            <w:pPr>
              <w:rPr>
                <w:rFonts w:ascii="Arial" w:hAnsi="Arial" w:cs="Arial"/>
                <w:sz w:val="18"/>
                <w:szCs w:val="18"/>
              </w:rPr>
            </w:pPr>
            <w:r w:rsidRPr="0032550B">
              <w:rPr>
                <w:rFonts w:ascii="Arial" w:hAnsi="Arial" w:cs="Arial"/>
                <w:sz w:val="18"/>
                <w:szCs w:val="18"/>
              </w:rPr>
              <w:t>GHS majoré si :</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sz w:val="18"/>
                <w:szCs w:val="18"/>
              </w:rPr>
              <w:t>Racine 08C56</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sz w:val="18"/>
                <w:szCs w:val="18"/>
              </w:rPr>
              <w:t>Type d’autorisation global « 30 » (non indiqué en 2011) dont les dates sont en cours de validité</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b/>
                <w:sz w:val="18"/>
                <w:szCs w:val="18"/>
              </w:rPr>
              <w:t>DAS Z76.800</w:t>
            </w:r>
            <w:r w:rsidRPr="0032550B">
              <w:rPr>
                <w:rFonts w:ascii="Arial" w:hAnsi="Arial" w:cs="Arial"/>
                <w:sz w:val="18"/>
                <w:szCs w:val="18"/>
              </w:rPr>
              <w:t xml:space="preserve"> </w:t>
            </w:r>
          </w:p>
        </w:tc>
        <w:tc>
          <w:tcPr>
            <w:tcW w:w="3119" w:type="dxa"/>
            <w:vAlign w:val="center"/>
          </w:tcPr>
          <w:p w:rsidR="000A682F" w:rsidRPr="0032550B" w:rsidRDefault="000A682F" w:rsidP="000A682F">
            <w:pPr>
              <w:rPr>
                <w:rFonts w:ascii="Arial" w:hAnsi="Arial" w:cs="Arial"/>
                <w:sz w:val="18"/>
                <w:szCs w:val="18"/>
              </w:rPr>
            </w:pPr>
            <w:r w:rsidRPr="0032550B">
              <w:rPr>
                <w:rFonts w:ascii="Arial" w:hAnsi="Arial" w:cs="Arial"/>
                <w:sz w:val="18"/>
                <w:szCs w:val="18"/>
              </w:rPr>
              <w:t>GHS majoré si :</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sz w:val="18"/>
                <w:szCs w:val="18"/>
              </w:rPr>
              <w:t>Racine 08C61 ou 08C62</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sz w:val="18"/>
                <w:szCs w:val="18"/>
              </w:rPr>
              <w:t xml:space="preserve">Type d’autorisation global « 30 » dont les dates sont en cours de validité </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b/>
                <w:sz w:val="18"/>
                <w:szCs w:val="18"/>
              </w:rPr>
              <w:t>DAS Z76.800</w:t>
            </w:r>
          </w:p>
        </w:tc>
      </w:tr>
      <w:tr w:rsidR="000A682F" w:rsidRPr="005765EB" w:rsidTr="000A682F">
        <w:trPr>
          <w:trHeight w:val="1450"/>
        </w:trPr>
        <w:tc>
          <w:tcPr>
            <w:tcW w:w="1897" w:type="dxa"/>
            <w:shd w:val="clear" w:color="auto" w:fill="514B64"/>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 xml:space="preserve">GHS majoré </w:t>
            </w:r>
          </w:p>
          <w:p w:rsidR="000A682F" w:rsidRPr="0032550B" w:rsidRDefault="000A682F" w:rsidP="000A682F">
            <w:pPr>
              <w:jc w:val="center"/>
              <w:rPr>
                <w:rFonts w:ascii="Arial" w:hAnsi="Arial" w:cs="Arial"/>
                <w:b/>
                <w:color w:val="FFFFFF" w:themeColor="background1"/>
                <w:sz w:val="18"/>
                <w:szCs w:val="18"/>
              </w:rPr>
            </w:pPr>
          </w:p>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BF620D"/>
                <w:sz w:val="18"/>
                <w:szCs w:val="18"/>
              </w:rPr>
              <w:t>Sélection</w:t>
            </w:r>
          </w:p>
        </w:tc>
        <w:tc>
          <w:tcPr>
            <w:tcW w:w="5469" w:type="dxa"/>
            <w:gridSpan w:val="2"/>
            <w:vAlign w:val="center"/>
          </w:tcPr>
          <w:p w:rsidR="000A682F" w:rsidRPr="0032550B" w:rsidRDefault="000A682F" w:rsidP="000A682F">
            <w:pPr>
              <w:rPr>
                <w:rFonts w:ascii="Arial" w:hAnsi="Arial" w:cs="Arial"/>
                <w:sz w:val="18"/>
                <w:szCs w:val="18"/>
              </w:rPr>
            </w:pPr>
            <w:r w:rsidRPr="0032550B">
              <w:rPr>
                <w:rFonts w:ascii="Arial" w:hAnsi="Arial" w:cs="Arial"/>
                <w:sz w:val="18"/>
                <w:szCs w:val="18"/>
              </w:rPr>
              <w:t>Codes GHS majoré de la racine 08C56:</w:t>
            </w:r>
          </w:p>
          <w:p w:rsidR="000A682F" w:rsidRPr="0032550B" w:rsidRDefault="000A682F" w:rsidP="00AE4BDD">
            <w:pPr>
              <w:pStyle w:val="Paragraphedeliste"/>
              <w:numPr>
                <w:ilvl w:val="0"/>
                <w:numId w:val="8"/>
              </w:numPr>
              <w:ind w:left="542"/>
              <w:rPr>
                <w:rFonts w:ascii="Arial" w:hAnsi="Arial" w:cs="Arial"/>
                <w:sz w:val="18"/>
                <w:szCs w:val="18"/>
              </w:rPr>
            </w:pPr>
            <w:r w:rsidRPr="0032550B">
              <w:rPr>
                <w:rFonts w:ascii="Arial" w:hAnsi="Arial" w:cs="Arial"/>
                <w:sz w:val="18"/>
                <w:szCs w:val="18"/>
              </w:rPr>
              <w:t>2922 (niveau 1),</w:t>
            </w:r>
          </w:p>
          <w:p w:rsidR="000A682F" w:rsidRPr="0032550B" w:rsidRDefault="000A682F" w:rsidP="00AE4BDD">
            <w:pPr>
              <w:pStyle w:val="Paragraphedeliste"/>
              <w:numPr>
                <w:ilvl w:val="0"/>
                <w:numId w:val="8"/>
              </w:numPr>
              <w:ind w:left="542"/>
              <w:rPr>
                <w:rFonts w:ascii="Arial" w:hAnsi="Arial" w:cs="Arial"/>
                <w:sz w:val="18"/>
                <w:szCs w:val="18"/>
              </w:rPr>
            </w:pPr>
            <w:r w:rsidRPr="0032550B">
              <w:rPr>
                <w:rFonts w:ascii="Arial" w:hAnsi="Arial" w:cs="Arial"/>
                <w:sz w:val="18"/>
                <w:szCs w:val="18"/>
              </w:rPr>
              <w:t>2923 (niveau 2),</w:t>
            </w:r>
          </w:p>
          <w:p w:rsidR="000A682F" w:rsidRPr="0032550B" w:rsidRDefault="000A682F" w:rsidP="00AE4BDD">
            <w:pPr>
              <w:pStyle w:val="Paragraphedeliste"/>
              <w:numPr>
                <w:ilvl w:val="0"/>
                <w:numId w:val="8"/>
              </w:numPr>
              <w:ind w:left="542"/>
              <w:rPr>
                <w:rFonts w:ascii="Arial" w:hAnsi="Arial" w:cs="Arial"/>
                <w:sz w:val="18"/>
                <w:szCs w:val="18"/>
              </w:rPr>
            </w:pPr>
            <w:r w:rsidRPr="0032550B">
              <w:rPr>
                <w:rFonts w:ascii="Arial" w:hAnsi="Arial" w:cs="Arial"/>
                <w:sz w:val="18"/>
                <w:szCs w:val="18"/>
              </w:rPr>
              <w:t>2924 (niveau 3),</w:t>
            </w:r>
          </w:p>
          <w:p w:rsidR="000A682F" w:rsidRPr="0032550B" w:rsidRDefault="000A682F" w:rsidP="00AE4BDD">
            <w:pPr>
              <w:pStyle w:val="Paragraphedeliste"/>
              <w:numPr>
                <w:ilvl w:val="0"/>
                <w:numId w:val="8"/>
              </w:numPr>
              <w:ind w:left="542"/>
              <w:rPr>
                <w:rFonts w:ascii="Arial" w:hAnsi="Arial" w:cs="Arial"/>
                <w:sz w:val="18"/>
                <w:szCs w:val="18"/>
              </w:rPr>
            </w:pPr>
            <w:r w:rsidRPr="0032550B">
              <w:rPr>
                <w:rFonts w:ascii="Arial" w:hAnsi="Arial" w:cs="Arial"/>
                <w:sz w:val="18"/>
                <w:szCs w:val="18"/>
              </w:rPr>
              <w:t>2925 (niveau 4).</w:t>
            </w:r>
          </w:p>
        </w:tc>
        <w:tc>
          <w:tcPr>
            <w:tcW w:w="3119" w:type="dxa"/>
            <w:vAlign w:val="center"/>
          </w:tcPr>
          <w:p w:rsidR="000A682F" w:rsidRPr="0032550B" w:rsidRDefault="000A682F" w:rsidP="000A682F">
            <w:pPr>
              <w:rPr>
                <w:rFonts w:ascii="Arial" w:hAnsi="Arial" w:cs="Arial"/>
                <w:sz w:val="18"/>
                <w:szCs w:val="18"/>
              </w:rPr>
            </w:pPr>
            <w:r w:rsidRPr="0032550B">
              <w:rPr>
                <w:rFonts w:ascii="Arial" w:hAnsi="Arial" w:cs="Arial"/>
                <w:sz w:val="18"/>
                <w:szCs w:val="18"/>
              </w:rPr>
              <w:t>Codes GHS majoré des racines 08C61 et 08C62:</w:t>
            </w:r>
          </w:p>
          <w:p w:rsidR="000A682F" w:rsidRPr="0032550B" w:rsidRDefault="000A682F" w:rsidP="00AE4BDD">
            <w:pPr>
              <w:pStyle w:val="Paragraphedeliste"/>
              <w:numPr>
                <w:ilvl w:val="0"/>
                <w:numId w:val="20"/>
              </w:numPr>
              <w:ind w:left="459"/>
              <w:rPr>
                <w:rFonts w:ascii="Arial" w:hAnsi="Arial" w:cs="Arial"/>
                <w:sz w:val="18"/>
                <w:szCs w:val="18"/>
              </w:rPr>
            </w:pPr>
            <w:r w:rsidRPr="0032550B">
              <w:rPr>
                <w:rFonts w:ascii="Arial" w:hAnsi="Arial" w:cs="Arial"/>
                <w:sz w:val="18"/>
                <w:szCs w:val="18"/>
              </w:rPr>
              <w:t>De 2957 à 2960 (4 niveaux de 08C61)</w:t>
            </w:r>
          </w:p>
          <w:p w:rsidR="000A682F" w:rsidRPr="0032550B" w:rsidRDefault="000A682F" w:rsidP="00AE4BDD">
            <w:pPr>
              <w:pStyle w:val="Paragraphedeliste"/>
              <w:numPr>
                <w:ilvl w:val="0"/>
                <w:numId w:val="19"/>
              </w:numPr>
              <w:ind w:left="459"/>
              <w:rPr>
                <w:rFonts w:ascii="Arial" w:hAnsi="Arial" w:cs="Arial"/>
                <w:sz w:val="18"/>
                <w:szCs w:val="18"/>
              </w:rPr>
            </w:pPr>
            <w:r w:rsidRPr="0032550B">
              <w:rPr>
                <w:rFonts w:ascii="Arial" w:hAnsi="Arial" w:cs="Arial"/>
                <w:sz w:val="18"/>
                <w:szCs w:val="18"/>
              </w:rPr>
              <w:t>De 2961 à 2965 (5 niveaux de 08C62)</w:t>
            </w:r>
          </w:p>
        </w:tc>
      </w:tr>
    </w:tbl>
    <w:p w:rsidR="0064298E" w:rsidRDefault="0064298E" w:rsidP="00D64FD0">
      <w:pPr>
        <w:jc w:val="both"/>
        <w:rPr>
          <w:rFonts w:ascii="Arial" w:hAnsi="Arial" w:cs="Arial"/>
          <w:sz w:val="20"/>
          <w:szCs w:val="20"/>
          <w:u w:val="single"/>
        </w:rPr>
      </w:pPr>
    </w:p>
    <w:p w:rsidR="0064298E" w:rsidRDefault="0064298E" w:rsidP="00D64FD0">
      <w:pPr>
        <w:jc w:val="both"/>
        <w:rPr>
          <w:rFonts w:ascii="Arial" w:hAnsi="Arial" w:cs="Arial"/>
          <w:sz w:val="20"/>
          <w:szCs w:val="20"/>
          <w:u w:val="single"/>
        </w:rPr>
      </w:pPr>
    </w:p>
    <w:p w:rsidR="00D115A9" w:rsidRDefault="00D115A9" w:rsidP="00D64FD0">
      <w:pPr>
        <w:jc w:val="both"/>
        <w:rPr>
          <w:rFonts w:ascii="Arial" w:hAnsi="Arial" w:cs="Arial"/>
          <w:b/>
          <w:color w:val="0084A8"/>
          <w:sz w:val="20"/>
          <w:szCs w:val="20"/>
        </w:rPr>
      </w:pPr>
    </w:p>
    <w:p w:rsidR="000A682F" w:rsidRPr="00AA77E8" w:rsidRDefault="000A682F" w:rsidP="00D64FD0">
      <w:pPr>
        <w:jc w:val="both"/>
        <w:rPr>
          <w:rFonts w:ascii="Arial" w:hAnsi="Arial" w:cs="Arial"/>
          <w:b/>
          <w:color w:val="0084A8"/>
          <w:sz w:val="20"/>
          <w:szCs w:val="20"/>
        </w:rPr>
      </w:pPr>
    </w:p>
    <w:p w:rsidR="00734EDF" w:rsidRDefault="00734EDF" w:rsidP="00D64FD0">
      <w:pPr>
        <w:jc w:val="both"/>
        <w:rPr>
          <w:rFonts w:ascii="Arial" w:hAnsi="Arial" w:cs="Arial"/>
          <w:sz w:val="20"/>
          <w:szCs w:val="20"/>
        </w:rPr>
      </w:pPr>
    </w:p>
    <w:p w:rsidR="00E10C1C" w:rsidRPr="00E10C1C" w:rsidRDefault="0099270A" w:rsidP="00E10C1C">
      <w:pPr>
        <w:pStyle w:val="Sous-titre"/>
        <w:rPr>
          <w:b w:val="0"/>
          <w:color w:val="0084A8"/>
        </w:rPr>
      </w:pPr>
      <w:bookmarkStart w:id="28" w:name="_Toc496603317"/>
      <w:r w:rsidRPr="0099270A">
        <w:t>A</w:t>
      </w:r>
      <w:r w:rsidR="00591A72">
        <w:t>nnexe</w:t>
      </w:r>
      <w:r w:rsidR="002E011C">
        <w:t xml:space="preserve"> </w:t>
      </w:r>
      <w:r w:rsidR="00182F34">
        <w:t>1</w:t>
      </w:r>
      <w:r w:rsidR="00591A72">
        <w:t xml:space="preserve"> : </w:t>
      </w:r>
      <w:r w:rsidRPr="002E011C">
        <w:rPr>
          <w:b w:val="0"/>
          <w:color w:val="0084A8"/>
        </w:rPr>
        <w:t>Liste des centres de référence et correspondants</w:t>
      </w:r>
      <w:bookmarkEnd w:id="28"/>
    </w:p>
    <w:p w:rsidR="00591A72" w:rsidRPr="00E10C1C" w:rsidRDefault="00E10C1C" w:rsidP="00591A72">
      <w:pPr>
        <w:rPr>
          <w:rFonts w:ascii="Arial" w:hAnsi="Arial" w:cs="Arial"/>
          <w:sz w:val="20"/>
          <w:szCs w:val="20"/>
        </w:rPr>
      </w:pPr>
      <w:r w:rsidRPr="00E10C1C">
        <w:rPr>
          <w:rFonts w:ascii="Arial" w:hAnsi="Arial" w:cs="Arial"/>
          <w:sz w:val="20"/>
          <w:szCs w:val="20"/>
        </w:rPr>
        <w:t>Historique jusqu’en 2017</w:t>
      </w:r>
    </w:p>
    <w:p w:rsidR="004F7195" w:rsidRDefault="00B67E7C" w:rsidP="00803E2C">
      <w:pPr>
        <w:spacing w:after="0" w:line="240" w:lineRule="auto"/>
        <w:rPr>
          <w:rFonts w:ascii="Arial" w:hAnsi="Arial" w:cs="Arial"/>
          <w:sz w:val="18"/>
          <w:szCs w:val="18"/>
        </w:rPr>
      </w:pPr>
      <w:r w:rsidRPr="00B67E7C">
        <w:rPr>
          <w:noProof/>
          <w:lang w:eastAsia="fr-FR"/>
        </w:rPr>
        <w:lastRenderedPageBreak/>
        <w:drawing>
          <wp:inline distT="0" distB="0" distL="0" distR="0" wp14:anchorId="7437050E" wp14:editId="7DC9D78E">
            <wp:extent cx="6370707" cy="660028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3874" cy="6613923"/>
                    </a:xfrm>
                    <a:prstGeom prst="rect">
                      <a:avLst/>
                    </a:prstGeom>
                    <a:noFill/>
                    <a:ln>
                      <a:noFill/>
                    </a:ln>
                  </pic:spPr>
                </pic:pic>
              </a:graphicData>
            </a:graphic>
          </wp:inline>
        </w:drawing>
      </w:r>
    </w:p>
    <w:p w:rsidR="0017491D" w:rsidRDefault="00B67E7C" w:rsidP="0017491D">
      <w:pPr>
        <w:spacing w:line="240" w:lineRule="auto"/>
        <w:contextualSpacing/>
        <w:rPr>
          <w:rFonts w:ascii="Arial" w:eastAsia="Times New Roman" w:hAnsi="Arial" w:cs="Arial"/>
          <w:color w:val="000000" w:themeColor="text1"/>
          <w:sz w:val="18"/>
          <w:szCs w:val="18"/>
          <w:shd w:val="clear" w:color="auto" w:fill="FFFFFF"/>
        </w:rPr>
      </w:pPr>
      <w:r>
        <w:rPr>
          <w:rFonts w:ascii="Arial" w:hAnsi="Arial" w:cs="Arial"/>
          <w:sz w:val="18"/>
          <w:szCs w:val="18"/>
        </w:rPr>
        <w:t xml:space="preserve"> </w:t>
      </w:r>
    </w:p>
    <w:p w:rsidR="0017491D" w:rsidRDefault="0017491D" w:rsidP="0017491D">
      <w:pPr>
        <w:spacing w:line="240" w:lineRule="auto"/>
        <w:contextualSpacing/>
        <w:rPr>
          <w:rFonts w:ascii="Arial" w:hAnsi="Arial" w:cs="Arial"/>
          <w:b/>
          <w:sz w:val="20"/>
          <w:szCs w:val="20"/>
        </w:rPr>
      </w:pPr>
    </w:p>
    <w:p w:rsidR="001B6A4D" w:rsidRPr="009D40C6" w:rsidRDefault="001B6A4D" w:rsidP="001B6A4D">
      <w:pPr>
        <w:spacing w:after="0" w:line="240" w:lineRule="auto"/>
        <w:jc w:val="both"/>
        <w:rPr>
          <w:rFonts w:ascii="Arial" w:hAnsi="Arial" w:cs="Arial"/>
          <w:bCs/>
          <w:sz w:val="18"/>
          <w:szCs w:val="18"/>
        </w:rPr>
      </w:pPr>
      <w:r w:rsidRPr="009D40C6">
        <w:rPr>
          <w:rFonts w:ascii="Arial" w:hAnsi="Arial" w:cs="Arial"/>
          <w:sz w:val="18"/>
          <w:szCs w:val="18"/>
        </w:rPr>
        <w:t>Le CH de Tourcoing est bien centre de référence en collaboration avec le CHRU de Lille mais n’est pas mentionné dans la circulaire (</w:t>
      </w:r>
      <w:hyperlink r:id="rId11" w:history="1">
        <w:r w:rsidRPr="009D40C6">
          <w:rPr>
            <w:rStyle w:val="Lienhypertexte"/>
            <w:rFonts w:ascii="Arial" w:hAnsi="Arial" w:cs="Arial"/>
            <w:b/>
            <w:bCs/>
            <w:sz w:val="18"/>
            <w:szCs w:val="18"/>
          </w:rPr>
          <w:t>http://circulaire.legifrance.gouv.fr/pdf/2011/01/cir_32322.pdf</w:t>
        </w:r>
      </w:hyperlink>
      <w:r w:rsidRPr="009D40C6">
        <w:rPr>
          <w:rFonts w:ascii="Arial" w:hAnsi="Arial" w:cs="Arial"/>
          <w:b/>
          <w:bCs/>
          <w:sz w:val="18"/>
          <w:szCs w:val="18"/>
        </w:rPr>
        <w:t xml:space="preserve">). </w:t>
      </w:r>
      <w:r w:rsidRPr="009D40C6">
        <w:rPr>
          <w:rFonts w:ascii="Arial" w:hAnsi="Arial" w:cs="Arial"/>
          <w:bCs/>
          <w:sz w:val="18"/>
          <w:szCs w:val="18"/>
        </w:rPr>
        <w:t>Cette information est disponible sur le site de sante.gouv (</w:t>
      </w:r>
      <w:hyperlink r:id="rId12" w:history="1">
        <w:r w:rsidR="00744D9D" w:rsidRPr="009D40C6">
          <w:rPr>
            <w:rStyle w:val="Lienhypertexte"/>
            <w:sz w:val="18"/>
            <w:szCs w:val="18"/>
          </w:rPr>
          <w:t>http://solidarites-sante.gouv.fr/soins-et-maladies/prises-en-charge-specialisees/infections-osteo-articulaires/article/infections-osteo-articulaires-complexes</w:t>
        </w:r>
      </w:hyperlink>
      <w:r w:rsidR="00744D9D" w:rsidRPr="009D40C6">
        <w:rPr>
          <w:sz w:val="18"/>
          <w:szCs w:val="18"/>
        </w:rPr>
        <w:t xml:space="preserve">). </w:t>
      </w:r>
      <w:r w:rsidRPr="009D40C6">
        <w:rPr>
          <w:rFonts w:ascii="Arial" w:hAnsi="Arial" w:cs="Arial"/>
          <w:bCs/>
          <w:sz w:val="18"/>
          <w:szCs w:val="18"/>
        </w:rPr>
        <w:t xml:space="preserve">Les </w:t>
      </w:r>
      <w:r w:rsidR="005E1A44" w:rsidRPr="009D40C6">
        <w:rPr>
          <w:rFonts w:ascii="Arial" w:hAnsi="Arial" w:cs="Arial"/>
          <w:bCs/>
          <w:sz w:val="18"/>
          <w:szCs w:val="18"/>
        </w:rPr>
        <w:t>FINESS</w:t>
      </w:r>
      <w:r w:rsidRPr="009D40C6">
        <w:rPr>
          <w:rFonts w:ascii="Arial" w:hAnsi="Arial" w:cs="Arial"/>
          <w:bCs/>
          <w:sz w:val="18"/>
          <w:szCs w:val="18"/>
        </w:rPr>
        <w:t xml:space="preserve"> indiqués sur le site de sante.gouv sont parfois les </w:t>
      </w:r>
      <w:r w:rsidR="005E1A44" w:rsidRPr="009D40C6">
        <w:rPr>
          <w:rFonts w:ascii="Arial" w:hAnsi="Arial" w:cs="Arial"/>
          <w:bCs/>
          <w:sz w:val="18"/>
          <w:szCs w:val="18"/>
        </w:rPr>
        <w:t>FINESS</w:t>
      </w:r>
      <w:r w:rsidRPr="009D40C6">
        <w:rPr>
          <w:rFonts w:ascii="Arial" w:hAnsi="Arial" w:cs="Arial"/>
          <w:bCs/>
          <w:sz w:val="18"/>
          <w:szCs w:val="18"/>
        </w:rPr>
        <w:t xml:space="preserve"> géographiques alors que le </w:t>
      </w:r>
      <w:r w:rsidR="005E1A44" w:rsidRPr="009D40C6">
        <w:rPr>
          <w:rFonts w:ascii="Arial" w:hAnsi="Arial" w:cs="Arial"/>
          <w:bCs/>
          <w:sz w:val="18"/>
          <w:szCs w:val="18"/>
        </w:rPr>
        <w:t>FINESS</w:t>
      </w:r>
      <w:r w:rsidRPr="009D40C6">
        <w:rPr>
          <w:rFonts w:ascii="Arial" w:hAnsi="Arial" w:cs="Arial"/>
          <w:bCs/>
          <w:sz w:val="18"/>
          <w:szCs w:val="18"/>
        </w:rPr>
        <w:t xml:space="preserve"> utilisé dans les bases PMSI est le </w:t>
      </w:r>
      <w:r w:rsidR="005E1A44" w:rsidRPr="009D40C6">
        <w:rPr>
          <w:rFonts w:ascii="Arial" w:hAnsi="Arial" w:cs="Arial"/>
          <w:bCs/>
          <w:sz w:val="18"/>
          <w:szCs w:val="18"/>
        </w:rPr>
        <w:t>FINESS</w:t>
      </w:r>
      <w:r w:rsidRPr="009D40C6">
        <w:rPr>
          <w:rFonts w:ascii="Arial" w:hAnsi="Arial" w:cs="Arial"/>
          <w:bCs/>
          <w:sz w:val="18"/>
          <w:szCs w:val="18"/>
        </w:rPr>
        <w:t xml:space="preserve"> juridique. Le tableau ci-dessus fournit le </w:t>
      </w:r>
      <w:r w:rsidR="005E1A44" w:rsidRPr="009D40C6">
        <w:rPr>
          <w:rFonts w:ascii="Arial" w:hAnsi="Arial" w:cs="Arial"/>
          <w:bCs/>
          <w:sz w:val="18"/>
          <w:szCs w:val="18"/>
        </w:rPr>
        <w:t>FINESS</w:t>
      </w:r>
      <w:r w:rsidRPr="009D40C6">
        <w:rPr>
          <w:rFonts w:ascii="Arial" w:hAnsi="Arial" w:cs="Arial"/>
          <w:bCs/>
          <w:sz w:val="18"/>
          <w:szCs w:val="18"/>
        </w:rPr>
        <w:t xml:space="preserve"> PMSI</w:t>
      </w:r>
      <w:r w:rsidR="004376B4" w:rsidRPr="009D40C6">
        <w:rPr>
          <w:rFonts w:ascii="Arial" w:hAnsi="Arial" w:cs="Arial"/>
          <w:bCs/>
          <w:sz w:val="18"/>
          <w:szCs w:val="18"/>
        </w:rPr>
        <w:t>, c’est-à-dire celui présent dans les bases</w:t>
      </w:r>
      <w:r w:rsidR="007D5D59" w:rsidRPr="009D40C6">
        <w:rPr>
          <w:rFonts w:ascii="Arial" w:hAnsi="Arial" w:cs="Arial"/>
          <w:bCs/>
          <w:sz w:val="18"/>
          <w:szCs w:val="18"/>
        </w:rPr>
        <w:t xml:space="preserve"> PMSI</w:t>
      </w:r>
      <w:r w:rsidRPr="009D40C6">
        <w:rPr>
          <w:rFonts w:ascii="Arial" w:hAnsi="Arial" w:cs="Arial"/>
          <w:bCs/>
          <w:sz w:val="18"/>
          <w:szCs w:val="18"/>
        </w:rPr>
        <w:t>.</w:t>
      </w:r>
    </w:p>
    <w:p w:rsidR="001B6A4D" w:rsidRPr="002E011C" w:rsidRDefault="0041541C" w:rsidP="0068711A">
      <w:pPr>
        <w:pStyle w:val="Sous-titre"/>
      </w:pPr>
      <w:bookmarkStart w:id="29" w:name="_Toc496603318"/>
      <w:r w:rsidRPr="002E011C">
        <w:t xml:space="preserve">Annexe </w:t>
      </w:r>
      <w:r w:rsidR="00182F34">
        <w:t>2</w:t>
      </w:r>
      <w:bookmarkEnd w:id="29"/>
    </w:p>
    <w:p w:rsidR="0041541C" w:rsidRPr="002E011C" w:rsidRDefault="0041541C" w:rsidP="0068711A">
      <w:pPr>
        <w:outlineLvl w:val="0"/>
        <w:rPr>
          <w:rFonts w:ascii="Arial" w:hAnsi="Arial" w:cs="Arial"/>
          <w:b/>
          <w:color w:val="0084A8"/>
          <w:sz w:val="24"/>
          <w:szCs w:val="24"/>
        </w:rPr>
      </w:pPr>
      <w:bookmarkStart w:id="30" w:name="_Toc496603319"/>
      <w:r w:rsidRPr="002E011C">
        <w:rPr>
          <w:rFonts w:ascii="Arial" w:hAnsi="Arial" w:cs="Arial"/>
          <w:b/>
          <w:color w:val="0084A8"/>
          <w:sz w:val="24"/>
          <w:szCs w:val="24"/>
        </w:rPr>
        <w:t>Infections ostéoarticulaires conduisant dans les racines 08C61 et 08C62</w:t>
      </w:r>
      <w:bookmarkEnd w:id="30"/>
    </w:p>
    <w:tbl>
      <w:tblPr>
        <w:tblW w:w="9406" w:type="dxa"/>
        <w:tblCellMar>
          <w:left w:w="70" w:type="dxa"/>
          <w:right w:w="70" w:type="dxa"/>
        </w:tblCellMar>
        <w:tblLook w:val="04A0" w:firstRow="1" w:lastRow="0" w:firstColumn="1" w:lastColumn="0" w:noHBand="0" w:noVBand="1"/>
      </w:tblPr>
      <w:tblGrid>
        <w:gridCol w:w="756"/>
        <w:gridCol w:w="8650"/>
      </w:tblGrid>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A180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des os et des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A666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Lésions ostéo-articulaires pianiques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B453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Cryptococcose osseuse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B672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osseuse à Echinococcus granulosus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M0011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M0124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Sacro-iliite, non classée ailleurs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M4618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Sacro-iliite, non classée ailleurs - Région sacrée et sacro-coccygienne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Localisations vertébrales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occipito-atloïdo-axoïdienne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cervicale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cervico-dorsale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dorso-lombaire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lombo-sacrée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sacrée et sacro-coccygienne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Localisation vertébrale non précisée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Localisations vertébrales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cervicale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cervico-dorsale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dorso-lombaire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lombo-sacrée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Localisation vertébrale non précisée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Localisations vertébrales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occipito-atloïdo-axoïdienne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cervicale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cervico-dorsale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dorso-lombaire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M4657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lombo-sacrée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sacrée et sacro-coccygienne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Localisation vertébrale non précisée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Localisations vertébrales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occipito-atloïdo-axoïdienne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cervicale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cervico-dorsale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dorso-lombaire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lombo-sacrée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sacrée et sacro-coccygienne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Localisation vertébrale non précisée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Localisations vertébrales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occipito-atloïdo-axoïdienne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cervicale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cervico-dorsale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dorso-lombaire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lombo-sacrée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sacrée et sacro-coccygienne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Localisation vertébrale non précisée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Localisations vertébrales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occipito-atloïdo-axoïdienne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cervicale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cervico-dorsale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dorso-lombaire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lombo-sacrée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sacrée et sacro-coccygienne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Localisation vertébrale non précisée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Localisations vertébrales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occipito-atloïdo-axoïdienne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cervicale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cervico-dorsale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dorso-lombaire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lombo-sacrée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sacrée et sacro-coccygienne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Localisation vertébrale non précisée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M680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Synovite et ténosynovite au cours de maladies bactériennes classées ailleurs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M8618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M8695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Siège non précisé</w:t>
            </w:r>
          </w:p>
        </w:tc>
      </w:tr>
    </w:tbl>
    <w:p w:rsidR="0041541C" w:rsidRPr="007F4460" w:rsidRDefault="0041541C" w:rsidP="0099270A">
      <w:pPr>
        <w:rPr>
          <w:rFonts w:ascii="Arial" w:hAnsi="Arial" w:cs="Arial"/>
          <w:b/>
          <w:sz w:val="20"/>
          <w:szCs w:val="20"/>
        </w:rPr>
      </w:pPr>
    </w:p>
    <w:p w:rsidR="00305241" w:rsidRPr="007F4460" w:rsidRDefault="00305241">
      <w:pPr>
        <w:rPr>
          <w:rFonts w:ascii="Arial" w:hAnsi="Arial" w:cs="Arial"/>
          <w:b/>
          <w:sz w:val="20"/>
          <w:szCs w:val="20"/>
        </w:rPr>
      </w:pPr>
      <w:r w:rsidRPr="007F4460">
        <w:rPr>
          <w:rFonts w:ascii="Arial" w:hAnsi="Arial" w:cs="Arial"/>
          <w:b/>
          <w:sz w:val="20"/>
          <w:szCs w:val="20"/>
        </w:rPr>
        <w:br w:type="page"/>
      </w:r>
    </w:p>
    <w:p w:rsidR="00305241" w:rsidRPr="002E011C" w:rsidRDefault="00305241" w:rsidP="002E011C">
      <w:pPr>
        <w:pStyle w:val="Sous-titre"/>
      </w:pPr>
      <w:bookmarkStart w:id="31" w:name="_Toc496603320"/>
      <w:r w:rsidRPr="002E011C">
        <w:lastRenderedPageBreak/>
        <w:t xml:space="preserve">Annexe </w:t>
      </w:r>
      <w:r w:rsidR="00182F34">
        <w:t>3</w:t>
      </w:r>
      <w:bookmarkEnd w:id="31"/>
    </w:p>
    <w:p w:rsidR="00305241" w:rsidRPr="002E011C" w:rsidRDefault="00D14B5A" w:rsidP="002E011C">
      <w:pPr>
        <w:outlineLvl w:val="0"/>
        <w:rPr>
          <w:rFonts w:ascii="Arial" w:hAnsi="Arial" w:cs="Arial"/>
          <w:b/>
          <w:color w:val="0084A8"/>
          <w:sz w:val="24"/>
          <w:szCs w:val="24"/>
        </w:rPr>
      </w:pPr>
      <w:bookmarkStart w:id="32" w:name="_Toc496603321"/>
      <w:r w:rsidRPr="002E011C">
        <w:rPr>
          <w:rFonts w:ascii="Arial" w:hAnsi="Arial" w:cs="Arial"/>
          <w:b/>
          <w:color w:val="0084A8"/>
          <w:sz w:val="24"/>
          <w:szCs w:val="24"/>
        </w:rPr>
        <w:t xml:space="preserve">A- </w:t>
      </w:r>
      <w:r w:rsidR="00305241" w:rsidRPr="002E011C">
        <w:rPr>
          <w:rFonts w:ascii="Arial" w:hAnsi="Arial" w:cs="Arial"/>
          <w:b/>
          <w:color w:val="0084A8"/>
          <w:sz w:val="24"/>
          <w:szCs w:val="24"/>
        </w:rPr>
        <w:t>Infections ostéoarticulaires conduisant dans l</w:t>
      </w:r>
      <w:r w:rsidRPr="002E011C">
        <w:rPr>
          <w:rFonts w:ascii="Arial" w:hAnsi="Arial" w:cs="Arial"/>
          <w:b/>
          <w:color w:val="0084A8"/>
          <w:sz w:val="24"/>
          <w:szCs w:val="24"/>
        </w:rPr>
        <w:t>a racine</w:t>
      </w:r>
      <w:r w:rsidR="00305241" w:rsidRPr="002E011C">
        <w:rPr>
          <w:rFonts w:ascii="Arial" w:hAnsi="Arial" w:cs="Arial"/>
          <w:b/>
          <w:color w:val="0084A8"/>
          <w:sz w:val="24"/>
          <w:szCs w:val="24"/>
        </w:rPr>
        <w:t xml:space="preserve"> 08M</w:t>
      </w:r>
      <w:r w:rsidRPr="002E011C">
        <w:rPr>
          <w:rFonts w:ascii="Arial" w:hAnsi="Arial" w:cs="Arial"/>
          <w:b/>
          <w:color w:val="0084A8"/>
          <w:sz w:val="24"/>
          <w:szCs w:val="24"/>
        </w:rPr>
        <w:t>31</w:t>
      </w:r>
      <w:bookmarkEnd w:id="32"/>
    </w:p>
    <w:tbl>
      <w:tblPr>
        <w:tblW w:w="9406" w:type="dxa"/>
        <w:tblCellMar>
          <w:left w:w="70" w:type="dxa"/>
          <w:right w:w="70" w:type="dxa"/>
        </w:tblCellMar>
        <w:tblLook w:val="04A0" w:firstRow="1" w:lastRow="0" w:firstColumn="1" w:lastColumn="0" w:noHBand="0" w:noVBand="1"/>
      </w:tblPr>
      <w:tblGrid>
        <w:gridCol w:w="756"/>
        <w:gridCol w:w="8650"/>
      </w:tblGrid>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CODE</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LIBLONG</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A180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des os et des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A666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Lésions ostéo-articulaires pianiques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B453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Cryptococcose osseuse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B672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osseuse à Echinococcus granulosus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M0102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Sacro-iliite, non classée ailleurs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M4618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Sacro-iliite, non classée ailleurs - Région sacrée et sacro-coccygienne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occipito-atloïdo-axoïdienne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M4622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sacrée et sacro-coccygienne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occipito-atloïdo-axoïdienne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sacrée et sacro-coccygienne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occipito-atloïdo-axoïdienne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sacrée et sacro-coccygienne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occipito-atloïdo-axoïdienne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sacrée et sacro-coccygienne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occipito-atloïdo-axoïdienne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sacrée et sacro-coccygienne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occipito-atloïdo-axoïdienne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M4932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sacrée et sacro-coccygienne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M680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Synovite et ténosynovite au cours de maladies bactériennes classées ailleurs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Région scapulaire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Avant-bras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Région pelvienne et cuisse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Jambe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Cheville et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Autres localisations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Région scapulaire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Avant-bras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Région pelvienne et cuisse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Jambe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Cheville et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Autres localisations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Région scapulaire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Avant-bras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Région pelvienne et cuisse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Jambe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Cheville et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Autres localisations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Région scapulaire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Avant-bras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Région pelvienne et cuisse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Jambe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Cheville et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Autres localisations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Région scapulaire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Avant-bras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Région pelvienne et cuisse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Jambe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Cheville et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Autres localisations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Région scapulaire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Avant-bras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M9024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Région pelvienne et cuisse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Jambe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Cheville et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Autres localisations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Siège non précisé</w:t>
            </w:r>
          </w:p>
        </w:tc>
      </w:tr>
    </w:tbl>
    <w:p w:rsidR="0041541C" w:rsidRPr="007F4460" w:rsidRDefault="0041541C" w:rsidP="0099270A">
      <w:pPr>
        <w:rPr>
          <w:rFonts w:ascii="Arial" w:hAnsi="Arial" w:cs="Arial"/>
          <w:b/>
          <w:sz w:val="20"/>
          <w:szCs w:val="20"/>
        </w:rPr>
      </w:pPr>
    </w:p>
    <w:p w:rsidR="00D14B5A" w:rsidRPr="002E011C" w:rsidRDefault="00D14B5A" w:rsidP="002E011C">
      <w:pPr>
        <w:pStyle w:val="Titre1"/>
        <w:rPr>
          <w:rFonts w:ascii="Arial" w:hAnsi="Arial" w:cs="Arial"/>
          <w:b/>
          <w:color w:val="0084A8"/>
          <w:sz w:val="24"/>
          <w:szCs w:val="24"/>
        </w:rPr>
      </w:pPr>
      <w:bookmarkStart w:id="33" w:name="_Toc496603322"/>
      <w:r w:rsidRPr="002E011C">
        <w:rPr>
          <w:rFonts w:ascii="Arial" w:hAnsi="Arial" w:cs="Arial"/>
          <w:b/>
          <w:color w:val="0084A8"/>
          <w:sz w:val="24"/>
          <w:szCs w:val="24"/>
        </w:rPr>
        <w:t>B- Infections ostéoarticulaires conduisant dans la racine 08M32</w:t>
      </w:r>
      <w:bookmarkEnd w:id="33"/>
    </w:p>
    <w:tbl>
      <w:tblPr>
        <w:tblW w:w="8084" w:type="dxa"/>
        <w:tblCellMar>
          <w:left w:w="70" w:type="dxa"/>
          <w:right w:w="70" w:type="dxa"/>
        </w:tblCellMar>
        <w:tblLook w:val="04A0" w:firstRow="1" w:lastRow="0" w:firstColumn="1" w:lastColumn="0" w:noHBand="0" w:noVBand="1"/>
      </w:tblPr>
      <w:tblGrid>
        <w:gridCol w:w="1200"/>
        <w:gridCol w:w="6884"/>
      </w:tblGrid>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CODE</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LIBLONG</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M8630</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Sièges multiples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M8631</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Région scapulaire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M8632</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M8633</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Avant-bras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M8634</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Main</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M8635</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Région pelvienne et cuisse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M8636</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Jambe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M8637</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Cheville et pied</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M8638</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Autres localisations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M8639</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Siège non précisé</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M8640</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Sièges multiples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M8641</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Région scapulaire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M8642</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M8643</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Avant-bras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M8644</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Main</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M8645</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Région pelvienne et cuisse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M8646</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Jambe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M8647</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Cheville et pied</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M8648</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Autres localisations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M8649</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Siège non précisé</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M8650</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Sièges multiples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M8651</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Région scapulaire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M8652</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M8653</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Avant-bras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M8654</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Main</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M8655</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Région pelvienne et cuisse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M8656</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Jambe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M8657</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Cheville et pied</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M8658</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Autres localisations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M8659</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Siège non précisé</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M8660</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Sièges multiples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M8661</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Région scapulaire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M8662</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M8663</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Avant-bras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M8664</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Main</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M8665</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Région pelvienne et cuisse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M8666</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Jambe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M8667</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Cheville et pied</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M8668</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Autres localisations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M8669</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Siège non précisé</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M8680</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Sièges multiples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M8681</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Région scapulaire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M8682</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M8683</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Avant-bras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M8684</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Main</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M8685</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Région pelvienne et cuisse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M8686</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Jambe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M8687</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Cheville et pied</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M8688</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Autres localisations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M8689</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Siège non précisé</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M8690</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Sièges multiples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M8691</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Région scapulaire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M8692</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M8693</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Avant-bras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M8694</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Main</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M8695</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Région pelvienne et cuisse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M8696</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Jambe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M8697</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Cheville et pied</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M8698</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Autres localisations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M8699</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Siège non précisé</w:t>
            </w:r>
          </w:p>
        </w:tc>
      </w:tr>
    </w:tbl>
    <w:p w:rsidR="00D14B5A" w:rsidRPr="007F4460" w:rsidRDefault="00D14B5A" w:rsidP="0099270A">
      <w:pPr>
        <w:rPr>
          <w:rFonts w:ascii="Arial" w:hAnsi="Arial" w:cs="Arial"/>
          <w:b/>
          <w:sz w:val="20"/>
          <w:szCs w:val="20"/>
        </w:rPr>
      </w:pPr>
    </w:p>
    <w:sectPr w:rsidR="00D14B5A" w:rsidRPr="007F4460" w:rsidSect="00A34E0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B57" w:rsidRDefault="00FF2B57" w:rsidP="009243FE">
      <w:pPr>
        <w:spacing w:after="0" w:line="240" w:lineRule="auto"/>
      </w:pPr>
      <w:r>
        <w:separator/>
      </w:r>
    </w:p>
  </w:endnote>
  <w:endnote w:type="continuationSeparator" w:id="0">
    <w:p w:rsidR="00FF2B57" w:rsidRDefault="00FF2B57" w:rsidP="0092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240697"/>
      <w:docPartObj>
        <w:docPartGallery w:val="Page Numbers (Bottom of Page)"/>
        <w:docPartUnique/>
      </w:docPartObj>
    </w:sdtPr>
    <w:sdtEndPr/>
    <w:sdtContent>
      <w:p w:rsidR="00BC210B" w:rsidRDefault="00BC210B">
        <w:pPr>
          <w:pStyle w:val="Pieddepage"/>
          <w:jc w:val="center"/>
        </w:pPr>
        <w:r>
          <w:fldChar w:fldCharType="begin"/>
        </w:r>
        <w:r>
          <w:instrText>PAGE   \* MERGEFORMAT</w:instrText>
        </w:r>
        <w:r>
          <w:fldChar w:fldCharType="separate"/>
        </w:r>
        <w:r w:rsidR="002332DF">
          <w:rPr>
            <w:noProof/>
          </w:rPr>
          <w:t>4</w:t>
        </w:r>
        <w:r>
          <w:fldChar w:fldCharType="end"/>
        </w:r>
      </w:p>
    </w:sdtContent>
  </w:sdt>
  <w:p w:rsidR="00BC210B" w:rsidRPr="0071236E" w:rsidRDefault="00BC210B" w:rsidP="00DB5232">
    <w:pPr>
      <w:pStyle w:val="Pieddepage"/>
      <w:ind w:left="-851"/>
      <w:jc w:val="right"/>
    </w:pPr>
    <w:r>
      <w:t>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B57" w:rsidRDefault="00FF2B57" w:rsidP="009243FE">
      <w:pPr>
        <w:spacing w:after="0" w:line="240" w:lineRule="auto"/>
      </w:pPr>
      <w:r>
        <w:separator/>
      </w:r>
    </w:p>
  </w:footnote>
  <w:footnote w:type="continuationSeparator" w:id="0">
    <w:p w:rsidR="00FF2B57" w:rsidRDefault="00FF2B57" w:rsidP="009243FE">
      <w:pPr>
        <w:spacing w:after="0" w:line="240" w:lineRule="auto"/>
      </w:pPr>
      <w:r>
        <w:continuationSeparator/>
      </w:r>
    </w:p>
  </w:footnote>
  <w:footnote w:id="1">
    <w:p w:rsidR="00BC210B" w:rsidRPr="00AA77E8" w:rsidRDefault="00BC210B">
      <w:pPr>
        <w:pStyle w:val="Notedebasdepage"/>
        <w:rPr>
          <w:rFonts w:ascii="Arial" w:hAnsi="Arial" w:cs="Arial"/>
        </w:rPr>
      </w:pPr>
      <w:r w:rsidRPr="00AA77E8">
        <w:rPr>
          <w:rStyle w:val="Appelnotedebasdep"/>
          <w:rFonts w:ascii="Arial" w:hAnsi="Arial" w:cs="Arial"/>
        </w:rPr>
        <w:footnoteRef/>
      </w:r>
      <w:r w:rsidRPr="00AA77E8">
        <w:rPr>
          <w:rFonts w:ascii="Arial" w:hAnsi="Arial" w:cs="Arial"/>
        </w:rPr>
        <w:t xml:space="preserve"> Les RCP sont définies au </w:t>
      </w:r>
      <w:r>
        <w:rPr>
          <w:rFonts w:ascii="Arial" w:hAnsi="Arial" w:cs="Arial"/>
        </w:rPr>
        <w:t>III</w:t>
      </w:r>
      <w:r w:rsidRPr="00AA77E8">
        <w:rPr>
          <w:rFonts w:ascii="Arial" w:hAnsi="Arial" w:cs="Arial"/>
        </w:rPr>
        <w:t xml:space="preserve"> Présentation du dispositif</w:t>
      </w:r>
    </w:p>
  </w:footnote>
  <w:footnote w:id="2">
    <w:p w:rsidR="00BC210B" w:rsidRDefault="00BC210B" w:rsidP="0083518B">
      <w:pPr>
        <w:pStyle w:val="Notedebasdepage"/>
      </w:pPr>
      <w:r>
        <w:rPr>
          <w:rStyle w:val="Appelnotedebasdep"/>
        </w:rPr>
        <w:footnoteRef/>
      </w:r>
      <w:r>
        <w:t xml:space="preserve"> </w:t>
      </w:r>
      <w:r w:rsidRPr="00637DF0">
        <w:rPr>
          <w:rFonts w:ascii="Arial" w:hAnsi="Arial" w:cs="Arial"/>
          <w:i/>
        </w:rPr>
        <w:t>Sujet ayant recours aux services de santé après une réunion de concertation pluridisciplinaire [RCP] ayant établi la complexité d'une infection ostéoarticulaire</w:t>
      </w:r>
    </w:p>
  </w:footnote>
  <w:footnote w:id="3">
    <w:p w:rsidR="00697CD7" w:rsidRPr="00697CD7" w:rsidRDefault="00697CD7">
      <w:pPr>
        <w:pStyle w:val="Notedebasdepage"/>
      </w:pPr>
      <w:r>
        <w:rPr>
          <w:rStyle w:val="Appelnotedebasdep"/>
        </w:rPr>
        <w:footnoteRef/>
      </w:r>
      <w:r>
        <w:t xml:space="preserve"> </w:t>
      </w:r>
      <w:r w:rsidRPr="00697CD7">
        <w:t xml:space="preserve">L’analyse des IOA en 2009 et 2010 montre que des séjours se déroulant dans des </w:t>
      </w:r>
      <w:r w:rsidRPr="00697CD7">
        <w:rPr>
          <w:b/>
        </w:rPr>
        <w:t>centres non référents</w:t>
      </w:r>
      <w:r w:rsidRPr="00697CD7">
        <w:t xml:space="preserve"> avec au moins un passage dans une UM d’autorisation 30 sont facturés avec un GHS majoré. Ce sont en réalité des centres devenus correspondants à partir de 2011.</w:t>
      </w:r>
    </w:p>
  </w:footnote>
  <w:footnote w:id="4">
    <w:p w:rsidR="00697CD7" w:rsidRDefault="00697CD7">
      <w:pPr>
        <w:pStyle w:val="Notedebasdepage"/>
      </w:pPr>
      <w:r w:rsidRPr="00697CD7">
        <w:rPr>
          <w:rStyle w:val="Appelnotedebasdep"/>
        </w:rPr>
        <w:footnoteRef/>
      </w:r>
      <w:r w:rsidRPr="00697CD7">
        <w:t xml:space="preserve"> </w:t>
      </w:r>
      <w:r w:rsidRPr="00697CD7">
        <w:rPr>
          <w:rFonts w:cs="Arial"/>
        </w:rPr>
        <w:t>Justifiant une RCP jugeant le caractère complexe de l’IOA traitée dans un centre habilité à ce type de prise en charge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0B" w:rsidRDefault="00BC210B" w:rsidP="0071236E">
    <w:pPr>
      <w:pStyle w:val="En-tte"/>
      <w:ind w:left="-851"/>
    </w:pPr>
    <w:r>
      <w:rPr>
        <w:noProof/>
        <w:lang w:eastAsia="fr-FR"/>
      </w:rPr>
      <w:drawing>
        <wp:inline distT="0" distB="0" distL="0" distR="0" wp14:anchorId="5E311435" wp14:editId="2310C113">
          <wp:extent cx="1009650" cy="85563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H.JPG"/>
                  <pic:cNvPicPr/>
                </pic:nvPicPr>
                <pic:blipFill>
                  <a:blip r:embed="rId1">
                    <a:extLst>
                      <a:ext uri="{28A0092B-C50C-407E-A947-70E740481C1C}">
                        <a14:useLocalDpi xmlns:a14="http://schemas.microsoft.com/office/drawing/2010/main" val="0"/>
                      </a:ext>
                    </a:extLst>
                  </a:blip>
                  <a:stretch>
                    <a:fillRect/>
                  </a:stretch>
                </pic:blipFill>
                <pic:spPr>
                  <a:xfrm>
                    <a:off x="0" y="0"/>
                    <a:ext cx="1032567" cy="875057"/>
                  </a:xfrm>
                  <a:prstGeom prst="rect">
                    <a:avLst/>
                  </a:prstGeom>
                </pic:spPr>
              </pic:pic>
            </a:graphicData>
          </a:graphic>
        </wp:inline>
      </w:drawing>
    </w:r>
  </w:p>
  <w:p w:rsidR="00BC210B" w:rsidRDefault="00BC21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4E79"/>
    <w:multiLevelType w:val="hybridMultilevel"/>
    <w:tmpl w:val="E2127B24"/>
    <w:lvl w:ilvl="0" w:tplc="040C0001">
      <w:start w:val="1"/>
      <w:numFmt w:val="bullet"/>
      <w:lvlText w:val=""/>
      <w:lvlJc w:val="left"/>
      <w:pPr>
        <w:ind w:left="921" w:hanging="360"/>
      </w:pPr>
      <w:rPr>
        <w:rFonts w:ascii="Symbol" w:hAnsi="Symbol" w:hint="default"/>
      </w:rPr>
    </w:lvl>
    <w:lvl w:ilvl="1" w:tplc="040C0003" w:tentative="1">
      <w:start w:val="1"/>
      <w:numFmt w:val="bullet"/>
      <w:lvlText w:val="o"/>
      <w:lvlJc w:val="left"/>
      <w:pPr>
        <w:ind w:left="1641" w:hanging="360"/>
      </w:pPr>
      <w:rPr>
        <w:rFonts w:ascii="Courier New" w:hAnsi="Courier New" w:cs="Courier New" w:hint="default"/>
      </w:rPr>
    </w:lvl>
    <w:lvl w:ilvl="2" w:tplc="040C0005" w:tentative="1">
      <w:start w:val="1"/>
      <w:numFmt w:val="bullet"/>
      <w:lvlText w:val=""/>
      <w:lvlJc w:val="left"/>
      <w:pPr>
        <w:ind w:left="2361" w:hanging="360"/>
      </w:pPr>
      <w:rPr>
        <w:rFonts w:ascii="Wingdings" w:hAnsi="Wingdings" w:hint="default"/>
      </w:rPr>
    </w:lvl>
    <w:lvl w:ilvl="3" w:tplc="040C0001" w:tentative="1">
      <w:start w:val="1"/>
      <w:numFmt w:val="bullet"/>
      <w:lvlText w:val=""/>
      <w:lvlJc w:val="left"/>
      <w:pPr>
        <w:ind w:left="3081" w:hanging="360"/>
      </w:pPr>
      <w:rPr>
        <w:rFonts w:ascii="Symbol" w:hAnsi="Symbol" w:hint="default"/>
      </w:rPr>
    </w:lvl>
    <w:lvl w:ilvl="4" w:tplc="040C0003" w:tentative="1">
      <w:start w:val="1"/>
      <w:numFmt w:val="bullet"/>
      <w:lvlText w:val="o"/>
      <w:lvlJc w:val="left"/>
      <w:pPr>
        <w:ind w:left="3801" w:hanging="360"/>
      </w:pPr>
      <w:rPr>
        <w:rFonts w:ascii="Courier New" w:hAnsi="Courier New" w:cs="Courier New" w:hint="default"/>
      </w:rPr>
    </w:lvl>
    <w:lvl w:ilvl="5" w:tplc="040C0005" w:tentative="1">
      <w:start w:val="1"/>
      <w:numFmt w:val="bullet"/>
      <w:lvlText w:val=""/>
      <w:lvlJc w:val="left"/>
      <w:pPr>
        <w:ind w:left="4521" w:hanging="360"/>
      </w:pPr>
      <w:rPr>
        <w:rFonts w:ascii="Wingdings" w:hAnsi="Wingdings" w:hint="default"/>
      </w:rPr>
    </w:lvl>
    <w:lvl w:ilvl="6" w:tplc="040C0001" w:tentative="1">
      <w:start w:val="1"/>
      <w:numFmt w:val="bullet"/>
      <w:lvlText w:val=""/>
      <w:lvlJc w:val="left"/>
      <w:pPr>
        <w:ind w:left="5241" w:hanging="360"/>
      </w:pPr>
      <w:rPr>
        <w:rFonts w:ascii="Symbol" w:hAnsi="Symbol" w:hint="default"/>
      </w:rPr>
    </w:lvl>
    <w:lvl w:ilvl="7" w:tplc="040C0003" w:tentative="1">
      <w:start w:val="1"/>
      <w:numFmt w:val="bullet"/>
      <w:lvlText w:val="o"/>
      <w:lvlJc w:val="left"/>
      <w:pPr>
        <w:ind w:left="5961" w:hanging="360"/>
      </w:pPr>
      <w:rPr>
        <w:rFonts w:ascii="Courier New" w:hAnsi="Courier New" w:cs="Courier New" w:hint="default"/>
      </w:rPr>
    </w:lvl>
    <w:lvl w:ilvl="8" w:tplc="040C0005" w:tentative="1">
      <w:start w:val="1"/>
      <w:numFmt w:val="bullet"/>
      <w:lvlText w:val=""/>
      <w:lvlJc w:val="left"/>
      <w:pPr>
        <w:ind w:left="6681" w:hanging="360"/>
      </w:pPr>
      <w:rPr>
        <w:rFonts w:ascii="Wingdings" w:hAnsi="Wingdings" w:hint="default"/>
      </w:rPr>
    </w:lvl>
  </w:abstractNum>
  <w:abstractNum w:abstractNumId="1" w15:restartNumberingAfterBreak="0">
    <w:nsid w:val="15D83A65"/>
    <w:multiLevelType w:val="hybridMultilevel"/>
    <w:tmpl w:val="FB0E00D8"/>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1B071EAD"/>
    <w:multiLevelType w:val="hybridMultilevel"/>
    <w:tmpl w:val="19BED9B4"/>
    <w:lvl w:ilvl="0" w:tplc="040C0001">
      <w:start w:val="1"/>
      <w:numFmt w:val="bullet"/>
      <w:lvlText w:val=""/>
      <w:lvlJc w:val="left"/>
      <w:pPr>
        <w:ind w:left="1888" w:hanging="360"/>
      </w:pPr>
      <w:rPr>
        <w:rFonts w:ascii="Symbol" w:hAnsi="Symbol" w:hint="default"/>
      </w:rPr>
    </w:lvl>
    <w:lvl w:ilvl="1" w:tplc="040C0003" w:tentative="1">
      <w:start w:val="1"/>
      <w:numFmt w:val="bullet"/>
      <w:lvlText w:val="o"/>
      <w:lvlJc w:val="left"/>
      <w:pPr>
        <w:ind w:left="2608" w:hanging="360"/>
      </w:pPr>
      <w:rPr>
        <w:rFonts w:ascii="Courier New" w:hAnsi="Courier New" w:cs="Courier New" w:hint="default"/>
      </w:rPr>
    </w:lvl>
    <w:lvl w:ilvl="2" w:tplc="040C0005" w:tentative="1">
      <w:start w:val="1"/>
      <w:numFmt w:val="bullet"/>
      <w:lvlText w:val=""/>
      <w:lvlJc w:val="left"/>
      <w:pPr>
        <w:ind w:left="3328" w:hanging="360"/>
      </w:pPr>
      <w:rPr>
        <w:rFonts w:ascii="Wingdings" w:hAnsi="Wingdings" w:hint="default"/>
      </w:rPr>
    </w:lvl>
    <w:lvl w:ilvl="3" w:tplc="040C0001" w:tentative="1">
      <w:start w:val="1"/>
      <w:numFmt w:val="bullet"/>
      <w:lvlText w:val=""/>
      <w:lvlJc w:val="left"/>
      <w:pPr>
        <w:ind w:left="4048" w:hanging="360"/>
      </w:pPr>
      <w:rPr>
        <w:rFonts w:ascii="Symbol" w:hAnsi="Symbol" w:hint="default"/>
      </w:rPr>
    </w:lvl>
    <w:lvl w:ilvl="4" w:tplc="040C0003" w:tentative="1">
      <w:start w:val="1"/>
      <w:numFmt w:val="bullet"/>
      <w:lvlText w:val="o"/>
      <w:lvlJc w:val="left"/>
      <w:pPr>
        <w:ind w:left="4768" w:hanging="360"/>
      </w:pPr>
      <w:rPr>
        <w:rFonts w:ascii="Courier New" w:hAnsi="Courier New" w:cs="Courier New" w:hint="default"/>
      </w:rPr>
    </w:lvl>
    <w:lvl w:ilvl="5" w:tplc="040C0005" w:tentative="1">
      <w:start w:val="1"/>
      <w:numFmt w:val="bullet"/>
      <w:lvlText w:val=""/>
      <w:lvlJc w:val="left"/>
      <w:pPr>
        <w:ind w:left="5488" w:hanging="360"/>
      </w:pPr>
      <w:rPr>
        <w:rFonts w:ascii="Wingdings" w:hAnsi="Wingdings" w:hint="default"/>
      </w:rPr>
    </w:lvl>
    <w:lvl w:ilvl="6" w:tplc="040C0001" w:tentative="1">
      <w:start w:val="1"/>
      <w:numFmt w:val="bullet"/>
      <w:lvlText w:val=""/>
      <w:lvlJc w:val="left"/>
      <w:pPr>
        <w:ind w:left="6208" w:hanging="360"/>
      </w:pPr>
      <w:rPr>
        <w:rFonts w:ascii="Symbol" w:hAnsi="Symbol" w:hint="default"/>
      </w:rPr>
    </w:lvl>
    <w:lvl w:ilvl="7" w:tplc="040C0003" w:tentative="1">
      <w:start w:val="1"/>
      <w:numFmt w:val="bullet"/>
      <w:lvlText w:val="o"/>
      <w:lvlJc w:val="left"/>
      <w:pPr>
        <w:ind w:left="6928" w:hanging="360"/>
      </w:pPr>
      <w:rPr>
        <w:rFonts w:ascii="Courier New" w:hAnsi="Courier New" w:cs="Courier New" w:hint="default"/>
      </w:rPr>
    </w:lvl>
    <w:lvl w:ilvl="8" w:tplc="040C0005" w:tentative="1">
      <w:start w:val="1"/>
      <w:numFmt w:val="bullet"/>
      <w:lvlText w:val=""/>
      <w:lvlJc w:val="left"/>
      <w:pPr>
        <w:ind w:left="7648" w:hanging="360"/>
      </w:pPr>
      <w:rPr>
        <w:rFonts w:ascii="Wingdings" w:hAnsi="Wingdings" w:hint="default"/>
      </w:rPr>
    </w:lvl>
  </w:abstractNum>
  <w:abstractNum w:abstractNumId="3" w15:restartNumberingAfterBreak="0">
    <w:nsid w:val="1E2A5D03"/>
    <w:multiLevelType w:val="hybridMultilevel"/>
    <w:tmpl w:val="EA323F2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23215640"/>
    <w:multiLevelType w:val="hybridMultilevel"/>
    <w:tmpl w:val="709458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3E06DE"/>
    <w:multiLevelType w:val="hybridMultilevel"/>
    <w:tmpl w:val="28F8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7A3F3C"/>
    <w:multiLevelType w:val="hybridMultilevel"/>
    <w:tmpl w:val="5D1A4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964958"/>
    <w:multiLevelType w:val="hybridMultilevel"/>
    <w:tmpl w:val="D80004AE"/>
    <w:lvl w:ilvl="0" w:tplc="040C0001">
      <w:start w:val="1"/>
      <w:numFmt w:val="bullet"/>
      <w:lvlText w:val=""/>
      <w:lvlJc w:val="left"/>
      <w:pPr>
        <w:ind w:left="1888" w:hanging="360"/>
      </w:pPr>
      <w:rPr>
        <w:rFonts w:ascii="Symbol" w:hAnsi="Symbol" w:hint="default"/>
      </w:rPr>
    </w:lvl>
    <w:lvl w:ilvl="1" w:tplc="040C0003" w:tentative="1">
      <w:start w:val="1"/>
      <w:numFmt w:val="bullet"/>
      <w:lvlText w:val="o"/>
      <w:lvlJc w:val="left"/>
      <w:pPr>
        <w:ind w:left="2608" w:hanging="360"/>
      </w:pPr>
      <w:rPr>
        <w:rFonts w:ascii="Courier New" w:hAnsi="Courier New" w:cs="Courier New" w:hint="default"/>
      </w:rPr>
    </w:lvl>
    <w:lvl w:ilvl="2" w:tplc="040C0005" w:tentative="1">
      <w:start w:val="1"/>
      <w:numFmt w:val="bullet"/>
      <w:lvlText w:val=""/>
      <w:lvlJc w:val="left"/>
      <w:pPr>
        <w:ind w:left="3328" w:hanging="360"/>
      </w:pPr>
      <w:rPr>
        <w:rFonts w:ascii="Wingdings" w:hAnsi="Wingdings" w:hint="default"/>
      </w:rPr>
    </w:lvl>
    <w:lvl w:ilvl="3" w:tplc="040C0001" w:tentative="1">
      <w:start w:val="1"/>
      <w:numFmt w:val="bullet"/>
      <w:lvlText w:val=""/>
      <w:lvlJc w:val="left"/>
      <w:pPr>
        <w:ind w:left="4048" w:hanging="360"/>
      </w:pPr>
      <w:rPr>
        <w:rFonts w:ascii="Symbol" w:hAnsi="Symbol" w:hint="default"/>
      </w:rPr>
    </w:lvl>
    <w:lvl w:ilvl="4" w:tplc="040C0003" w:tentative="1">
      <w:start w:val="1"/>
      <w:numFmt w:val="bullet"/>
      <w:lvlText w:val="o"/>
      <w:lvlJc w:val="left"/>
      <w:pPr>
        <w:ind w:left="4768" w:hanging="360"/>
      </w:pPr>
      <w:rPr>
        <w:rFonts w:ascii="Courier New" w:hAnsi="Courier New" w:cs="Courier New" w:hint="default"/>
      </w:rPr>
    </w:lvl>
    <w:lvl w:ilvl="5" w:tplc="040C0005" w:tentative="1">
      <w:start w:val="1"/>
      <w:numFmt w:val="bullet"/>
      <w:lvlText w:val=""/>
      <w:lvlJc w:val="left"/>
      <w:pPr>
        <w:ind w:left="5488" w:hanging="360"/>
      </w:pPr>
      <w:rPr>
        <w:rFonts w:ascii="Wingdings" w:hAnsi="Wingdings" w:hint="default"/>
      </w:rPr>
    </w:lvl>
    <w:lvl w:ilvl="6" w:tplc="040C0001" w:tentative="1">
      <w:start w:val="1"/>
      <w:numFmt w:val="bullet"/>
      <w:lvlText w:val=""/>
      <w:lvlJc w:val="left"/>
      <w:pPr>
        <w:ind w:left="6208" w:hanging="360"/>
      </w:pPr>
      <w:rPr>
        <w:rFonts w:ascii="Symbol" w:hAnsi="Symbol" w:hint="default"/>
      </w:rPr>
    </w:lvl>
    <w:lvl w:ilvl="7" w:tplc="040C0003" w:tentative="1">
      <w:start w:val="1"/>
      <w:numFmt w:val="bullet"/>
      <w:lvlText w:val="o"/>
      <w:lvlJc w:val="left"/>
      <w:pPr>
        <w:ind w:left="6928" w:hanging="360"/>
      </w:pPr>
      <w:rPr>
        <w:rFonts w:ascii="Courier New" w:hAnsi="Courier New" w:cs="Courier New" w:hint="default"/>
      </w:rPr>
    </w:lvl>
    <w:lvl w:ilvl="8" w:tplc="040C0005" w:tentative="1">
      <w:start w:val="1"/>
      <w:numFmt w:val="bullet"/>
      <w:lvlText w:val=""/>
      <w:lvlJc w:val="left"/>
      <w:pPr>
        <w:ind w:left="7648" w:hanging="360"/>
      </w:pPr>
      <w:rPr>
        <w:rFonts w:ascii="Wingdings" w:hAnsi="Wingdings" w:hint="default"/>
      </w:rPr>
    </w:lvl>
  </w:abstractNum>
  <w:abstractNum w:abstractNumId="8" w15:restartNumberingAfterBreak="0">
    <w:nsid w:val="38D15C53"/>
    <w:multiLevelType w:val="hybridMultilevel"/>
    <w:tmpl w:val="596AB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C23B4B"/>
    <w:multiLevelType w:val="hybridMultilevel"/>
    <w:tmpl w:val="DD5810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5D064C6">
      <w:numFmt w:val="bullet"/>
      <w:lvlText w:val="•"/>
      <w:lvlJc w:val="left"/>
      <w:pPr>
        <w:ind w:left="1464" w:firstLine="336"/>
      </w:pPr>
      <w:rPr>
        <w:rFonts w:ascii="Arial" w:eastAsiaTheme="minorHAnsi" w:hAnsi="Arial" w:cs="Arial" w:hint="default"/>
        <w:b w:val="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3E76C5"/>
    <w:multiLevelType w:val="hybridMultilevel"/>
    <w:tmpl w:val="12BE5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D30EEE"/>
    <w:multiLevelType w:val="hybridMultilevel"/>
    <w:tmpl w:val="D24C6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5816AD"/>
    <w:multiLevelType w:val="multilevel"/>
    <w:tmpl w:val="33162D0E"/>
    <w:lvl w:ilvl="0">
      <w:start w:val="1"/>
      <w:numFmt w:val="upperRoman"/>
      <w:lvlText w:val="%1."/>
      <w:lvlJc w:val="right"/>
      <w:pPr>
        <w:ind w:left="720" w:hanging="360"/>
      </w:pPr>
    </w:lvl>
    <w:lvl w:ilvl="1">
      <w:start w:val="1"/>
      <w:numFmt w:val="lowerRoman"/>
      <w:lvlText w:val="%2."/>
      <w:lvlJc w:val="righ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EA020C7"/>
    <w:multiLevelType w:val="hybridMultilevel"/>
    <w:tmpl w:val="6AA4A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AB3C56"/>
    <w:multiLevelType w:val="hybridMultilevel"/>
    <w:tmpl w:val="01AC9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FC6136"/>
    <w:multiLevelType w:val="hybridMultilevel"/>
    <w:tmpl w:val="4E348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A6563C"/>
    <w:multiLevelType w:val="hybridMultilevel"/>
    <w:tmpl w:val="49D6ECDC"/>
    <w:lvl w:ilvl="0" w:tplc="040C0013">
      <w:start w:val="1"/>
      <w:numFmt w:val="upperRoman"/>
      <w:lvlText w:val="%1."/>
      <w:lvlJc w:val="right"/>
      <w:pPr>
        <w:ind w:left="720" w:hanging="360"/>
      </w:pPr>
    </w:lvl>
    <w:lvl w:ilvl="1" w:tplc="040C001B">
      <w:start w:val="1"/>
      <w:numFmt w:val="lowerRoman"/>
      <w:lvlText w:val="%2."/>
      <w:lvlJc w:val="righ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4D10F49"/>
    <w:multiLevelType w:val="hybridMultilevel"/>
    <w:tmpl w:val="488A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9F70E8"/>
    <w:multiLevelType w:val="hybridMultilevel"/>
    <w:tmpl w:val="F2E00CE8"/>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9" w15:restartNumberingAfterBreak="0">
    <w:nsid w:val="59D91DD5"/>
    <w:multiLevelType w:val="hybridMultilevel"/>
    <w:tmpl w:val="48E03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E15DD9"/>
    <w:multiLevelType w:val="hybridMultilevel"/>
    <w:tmpl w:val="82103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0F3FF1"/>
    <w:multiLevelType w:val="hybridMultilevel"/>
    <w:tmpl w:val="456CA448"/>
    <w:lvl w:ilvl="0" w:tplc="040C001B">
      <w:start w:val="1"/>
      <w:numFmt w:val="lowerRoman"/>
      <w:lvlText w:val="%1."/>
      <w:lvlJc w:val="righ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755A561B"/>
    <w:multiLevelType w:val="hybridMultilevel"/>
    <w:tmpl w:val="234EC6B6"/>
    <w:lvl w:ilvl="0" w:tplc="040C001B">
      <w:start w:val="1"/>
      <w:numFmt w:val="low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0"/>
  </w:num>
  <w:num w:numId="3">
    <w:abstractNumId w:val="18"/>
  </w:num>
  <w:num w:numId="4">
    <w:abstractNumId w:val="1"/>
  </w:num>
  <w:num w:numId="5">
    <w:abstractNumId w:val="4"/>
  </w:num>
  <w:num w:numId="6">
    <w:abstractNumId w:val="21"/>
  </w:num>
  <w:num w:numId="7">
    <w:abstractNumId w:val="16"/>
  </w:num>
  <w:num w:numId="8">
    <w:abstractNumId w:val="20"/>
  </w:num>
  <w:num w:numId="9">
    <w:abstractNumId w:val="13"/>
  </w:num>
  <w:num w:numId="10">
    <w:abstractNumId w:val="19"/>
  </w:num>
  <w:num w:numId="11">
    <w:abstractNumId w:val="6"/>
  </w:num>
  <w:num w:numId="12">
    <w:abstractNumId w:val="15"/>
  </w:num>
  <w:num w:numId="13">
    <w:abstractNumId w:val="9"/>
  </w:num>
  <w:num w:numId="14">
    <w:abstractNumId w:val="5"/>
  </w:num>
  <w:num w:numId="15">
    <w:abstractNumId w:val="17"/>
  </w:num>
  <w:num w:numId="16">
    <w:abstractNumId w:val="3"/>
  </w:num>
  <w:num w:numId="17">
    <w:abstractNumId w:val="8"/>
  </w:num>
  <w:num w:numId="18">
    <w:abstractNumId w:val="11"/>
  </w:num>
  <w:num w:numId="19">
    <w:abstractNumId w:val="2"/>
  </w:num>
  <w:num w:numId="20">
    <w:abstractNumId w:val="7"/>
  </w:num>
  <w:num w:numId="21">
    <w:abstractNumId w:val="12"/>
  </w:num>
  <w:num w:numId="22">
    <w:abstractNumId w:val="14"/>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30"/>
    <w:rsid w:val="00016319"/>
    <w:rsid w:val="00021B52"/>
    <w:rsid w:val="00023302"/>
    <w:rsid w:val="00024D90"/>
    <w:rsid w:val="00052525"/>
    <w:rsid w:val="00056121"/>
    <w:rsid w:val="000618AF"/>
    <w:rsid w:val="00072EA9"/>
    <w:rsid w:val="0008583B"/>
    <w:rsid w:val="000958A8"/>
    <w:rsid w:val="000A682F"/>
    <w:rsid w:val="000B42D3"/>
    <w:rsid w:val="000C60CD"/>
    <w:rsid w:val="000D09EA"/>
    <w:rsid w:val="000E1838"/>
    <w:rsid w:val="000E6837"/>
    <w:rsid w:val="0010382D"/>
    <w:rsid w:val="001158E7"/>
    <w:rsid w:val="001270A6"/>
    <w:rsid w:val="001700F0"/>
    <w:rsid w:val="00173CBB"/>
    <w:rsid w:val="0017491D"/>
    <w:rsid w:val="001765D8"/>
    <w:rsid w:val="00182F34"/>
    <w:rsid w:val="0019425F"/>
    <w:rsid w:val="00195DF9"/>
    <w:rsid w:val="001A391F"/>
    <w:rsid w:val="001B6278"/>
    <w:rsid w:val="001B6A4D"/>
    <w:rsid w:val="001C6B63"/>
    <w:rsid w:val="001D25FD"/>
    <w:rsid w:val="001D6C9A"/>
    <w:rsid w:val="001E5374"/>
    <w:rsid w:val="001F1021"/>
    <w:rsid w:val="001F233E"/>
    <w:rsid w:val="001F6ED4"/>
    <w:rsid w:val="00205386"/>
    <w:rsid w:val="002220BC"/>
    <w:rsid w:val="00223671"/>
    <w:rsid w:val="00226FD0"/>
    <w:rsid w:val="002308ED"/>
    <w:rsid w:val="002332DF"/>
    <w:rsid w:val="0023353E"/>
    <w:rsid w:val="00233F3D"/>
    <w:rsid w:val="00261884"/>
    <w:rsid w:val="00261B79"/>
    <w:rsid w:val="00261DCD"/>
    <w:rsid w:val="002636FC"/>
    <w:rsid w:val="002645B2"/>
    <w:rsid w:val="00265C66"/>
    <w:rsid w:val="002660FC"/>
    <w:rsid w:val="0027132D"/>
    <w:rsid w:val="00275DC5"/>
    <w:rsid w:val="002930BA"/>
    <w:rsid w:val="00295657"/>
    <w:rsid w:val="002B6337"/>
    <w:rsid w:val="002C25B6"/>
    <w:rsid w:val="002C780E"/>
    <w:rsid w:val="002E011C"/>
    <w:rsid w:val="002E1435"/>
    <w:rsid w:val="002F63FC"/>
    <w:rsid w:val="002F6516"/>
    <w:rsid w:val="0030400E"/>
    <w:rsid w:val="00305241"/>
    <w:rsid w:val="00324355"/>
    <w:rsid w:val="0032550B"/>
    <w:rsid w:val="003319F7"/>
    <w:rsid w:val="00332433"/>
    <w:rsid w:val="00345A10"/>
    <w:rsid w:val="00353512"/>
    <w:rsid w:val="00357F7B"/>
    <w:rsid w:val="003821F4"/>
    <w:rsid w:val="00393FC9"/>
    <w:rsid w:val="00395AF1"/>
    <w:rsid w:val="00397FCD"/>
    <w:rsid w:val="003A03B9"/>
    <w:rsid w:val="003A758F"/>
    <w:rsid w:val="003B05AD"/>
    <w:rsid w:val="003C0BE4"/>
    <w:rsid w:val="003D1BC4"/>
    <w:rsid w:val="003E25BD"/>
    <w:rsid w:val="00407B7E"/>
    <w:rsid w:val="00413F9A"/>
    <w:rsid w:val="0041541C"/>
    <w:rsid w:val="00421212"/>
    <w:rsid w:val="00424EED"/>
    <w:rsid w:val="00432AB2"/>
    <w:rsid w:val="004376B4"/>
    <w:rsid w:val="00445625"/>
    <w:rsid w:val="004667C1"/>
    <w:rsid w:val="004756C8"/>
    <w:rsid w:val="004818ED"/>
    <w:rsid w:val="004839D0"/>
    <w:rsid w:val="00486693"/>
    <w:rsid w:val="00495C57"/>
    <w:rsid w:val="004A2878"/>
    <w:rsid w:val="004C5D81"/>
    <w:rsid w:val="004C75C1"/>
    <w:rsid w:val="004E7FEB"/>
    <w:rsid w:val="004F7195"/>
    <w:rsid w:val="00505B34"/>
    <w:rsid w:val="005234B8"/>
    <w:rsid w:val="00530D0D"/>
    <w:rsid w:val="005332B9"/>
    <w:rsid w:val="005702DB"/>
    <w:rsid w:val="0057504C"/>
    <w:rsid w:val="005760A7"/>
    <w:rsid w:val="005765EB"/>
    <w:rsid w:val="00576DE1"/>
    <w:rsid w:val="00591A72"/>
    <w:rsid w:val="00594E4D"/>
    <w:rsid w:val="005B6E85"/>
    <w:rsid w:val="005C0EF2"/>
    <w:rsid w:val="005C2FBF"/>
    <w:rsid w:val="005D4629"/>
    <w:rsid w:val="005D7E52"/>
    <w:rsid w:val="005E1A44"/>
    <w:rsid w:val="005E53C6"/>
    <w:rsid w:val="00602194"/>
    <w:rsid w:val="00603685"/>
    <w:rsid w:val="00603B70"/>
    <w:rsid w:val="00604606"/>
    <w:rsid w:val="00611DE9"/>
    <w:rsid w:val="00627EC8"/>
    <w:rsid w:val="00630275"/>
    <w:rsid w:val="0063058A"/>
    <w:rsid w:val="006359FF"/>
    <w:rsid w:val="00637DF0"/>
    <w:rsid w:val="0064192D"/>
    <w:rsid w:val="0064298E"/>
    <w:rsid w:val="00644350"/>
    <w:rsid w:val="00655A73"/>
    <w:rsid w:val="006624CC"/>
    <w:rsid w:val="006665D0"/>
    <w:rsid w:val="00671141"/>
    <w:rsid w:val="0068159E"/>
    <w:rsid w:val="00681970"/>
    <w:rsid w:val="0068711A"/>
    <w:rsid w:val="00697CD7"/>
    <w:rsid w:val="006A2B2A"/>
    <w:rsid w:val="006A4551"/>
    <w:rsid w:val="006B0752"/>
    <w:rsid w:val="006B73B7"/>
    <w:rsid w:val="006C1088"/>
    <w:rsid w:val="006C4850"/>
    <w:rsid w:val="006E67EF"/>
    <w:rsid w:val="006E7D5F"/>
    <w:rsid w:val="006F6579"/>
    <w:rsid w:val="007026B3"/>
    <w:rsid w:val="0071236E"/>
    <w:rsid w:val="0071633D"/>
    <w:rsid w:val="0072438A"/>
    <w:rsid w:val="00724584"/>
    <w:rsid w:val="0073009E"/>
    <w:rsid w:val="00734EDF"/>
    <w:rsid w:val="0074055A"/>
    <w:rsid w:val="00744D9D"/>
    <w:rsid w:val="00750608"/>
    <w:rsid w:val="00753EF9"/>
    <w:rsid w:val="00756E7C"/>
    <w:rsid w:val="00764E05"/>
    <w:rsid w:val="00765ECE"/>
    <w:rsid w:val="007843EC"/>
    <w:rsid w:val="00792DC3"/>
    <w:rsid w:val="007943AB"/>
    <w:rsid w:val="007A2A42"/>
    <w:rsid w:val="007A32CC"/>
    <w:rsid w:val="007B2E76"/>
    <w:rsid w:val="007B553A"/>
    <w:rsid w:val="007B5CE4"/>
    <w:rsid w:val="007B66AF"/>
    <w:rsid w:val="007B6702"/>
    <w:rsid w:val="007C1680"/>
    <w:rsid w:val="007C1C30"/>
    <w:rsid w:val="007D5D59"/>
    <w:rsid w:val="007D777B"/>
    <w:rsid w:val="007E12F0"/>
    <w:rsid w:val="007E26B1"/>
    <w:rsid w:val="007F4460"/>
    <w:rsid w:val="007F5E11"/>
    <w:rsid w:val="00801C81"/>
    <w:rsid w:val="00803E2C"/>
    <w:rsid w:val="0083518B"/>
    <w:rsid w:val="00837EEC"/>
    <w:rsid w:val="00842413"/>
    <w:rsid w:val="00853395"/>
    <w:rsid w:val="00854153"/>
    <w:rsid w:val="008621FA"/>
    <w:rsid w:val="0086511B"/>
    <w:rsid w:val="008759C9"/>
    <w:rsid w:val="00885464"/>
    <w:rsid w:val="00891CBB"/>
    <w:rsid w:val="00891E0C"/>
    <w:rsid w:val="008944F6"/>
    <w:rsid w:val="008C485A"/>
    <w:rsid w:val="008D1030"/>
    <w:rsid w:val="008D169A"/>
    <w:rsid w:val="008D1914"/>
    <w:rsid w:val="008D376B"/>
    <w:rsid w:val="008E1FEE"/>
    <w:rsid w:val="008E7385"/>
    <w:rsid w:val="008F3722"/>
    <w:rsid w:val="00901187"/>
    <w:rsid w:val="00905250"/>
    <w:rsid w:val="0092211D"/>
    <w:rsid w:val="009243FE"/>
    <w:rsid w:val="00930F70"/>
    <w:rsid w:val="009362E6"/>
    <w:rsid w:val="009524EB"/>
    <w:rsid w:val="00971839"/>
    <w:rsid w:val="0097478C"/>
    <w:rsid w:val="00980268"/>
    <w:rsid w:val="0099270A"/>
    <w:rsid w:val="00992D58"/>
    <w:rsid w:val="009A031A"/>
    <w:rsid w:val="009A4041"/>
    <w:rsid w:val="009B122E"/>
    <w:rsid w:val="009B545F"/>
    <w:rsid w:val="009D40C6"/>
    <w:rsid w:val="009F4127"/>
    <w:rsid w:val="00A01B12"/>
    <w:rsid w:val="00A22922"/>
    <w:rsid w:val="00A237A0"/>
    <w:rsid w:val="00A34E06"/>
    <w:rsid w:val="00A367E4"/>
    <w:rsid w:val="00A60F55"/>
    <w:rsid w:val="00A6791E"/>
    <w:rsid w:val="00A74262"/>
    <w:rsid w:val="00A76E73"/>
    <w:rsid w:val="00A76EFF"/>
    <w:rsid w:val="00A81D2F"/>
    <w:rsid w:val="00A92416"/>
    <w:rsid w:val="00A930B2"/>
    <w:rsid w:val="00A935A7"/>
    <w:rsid w:val="00AA77E8"/>
    <w:rsid w:val="00AB29BD"/>
    <w:rsid w:val="00AC06E3"/>
    <w:rsid w:val="00AC30BA"/>
    <w:rsid w:val="00AC4D67"/>
    <w:rsid w:val="00AC6C58"/>
    <w:rsid w:val="00AE1E45"/>
    <w:rsid w:val="00AE21B5"/>
    <w:rsid w:val="00AE35DA"/>
    <w:rsid w:val="00AE4BDD"/>
    <w:rsid w:val="00B018A5"/>
    <w:rsid w:val="00B0198F"/>
    <w:rsid w:val="00B358B9"/>
    <w:rsid w:val="00B36CB0"/>
    <w:rsid w:val="00B53252"/>
    <w:rsid w:val="00B54A13"/>
    <w:rsid w:val="00B559FB"/>
    <w:rsid w:val="00B66751"/>
    <w:rsid w:val="00B67E7C"/>
    <w:rsid w:val="00B72BC2"/>
    <w:rsid w:val="00B73346"/>
    <w:rsid w:val="00B8266A"/>
    <w:rsid w:val="00B90287"/>
    <w:rsid w:val="00B97D51"/>
    <w:rsid w:val="00BA3A6D"/>
    <w:rsid w:val="00BB0A88"/>
    <w:rsid w:val="00BC210B"/>
    <w:rsid w:val="00BC79A0"/>
    <w:rsid w:val="00BD26B6"/>
    <w:rsid w:val="00BE0923"/>
    <w:rsid w:val="00C25B39"/>
    <w:rsid w:val="00C3175E"/>
    <w:rsid w:val="00C47837"/>
    <w:rsid w:val="00C47F54"/>
    <w:rsid w:val="00C84E12"/>
    <w:rsid w:val="00C87E48"/>
    <w:rsid w:val="00C963DD"/>
    <w:rsid w:val="00CB46DB"/>
    <w:rsid w:val="00CB67A2"/>
    <w:rsid w:val="00CC6B64"/>
    <w:rsid w:val="00CD5315"/>
    <w:rsid w:val="00D115A9"/>
    <w:rsid w:val="00D14718"/>
    <w:rsid w:val="00D1496B"/>
    <w:rsid w:val="00D14B5A"/>
    <w:rsid w:val="00D16B4A"/>
    <w:rsid w:val="00D17586"/>
    <w:rsid w:val="00D254A9"/>
    <w:rsid w:val="00D30390"/>
    <w:rsid w:val="00D43A83"/>
    <w:rsid w:val="00D56E91"/>
    <w:rsid w:val="00D64FD0"/>
    <w:rsid w:val="00D8024F"/>
    <w:rsid w:val="00D8725D"/>
    <w:rsid w:val="00D95AB2"/>
    <w:rsid w:val="00DB215D"/>
    <w:rsid w:val="00DB5232"/>
    <w:rsid w:val="00DB54CB"/>
    <w:rsid w:val="00DC2BAA"/>
    <w:rsid w:val="00DC761E"/>
    <w:rsid w:val="00DC7F2C"/>
    <w:rsid w:val="00DD34F5"/>
    <w:rsid w:val="00DE5190"/>
    <w:rsid w:val="00DE773E"/>
    <w:rsid w:val="00DF3A22"/>
    <w:rsid w:val="00DF6D49"/>
    <w:rsid w:val="00E1040E"/>
    <w:rsid w:val="00E10C1C"/>
    <w:rsid w:val="00E12F92"/>
    <w:rsid w:val="00E24BC5"/>
    <w:rsid w:val="00E26CB6"/>
    <w:rsid w:val="00E60821"/>
    <w:rsid w:val="00E626D3"/>
    <w:rsid w:val="00E6603E"/>
    <w:rsid w:val="00E7341A"/>
    <w:rsid w:val="00E74121"/>
    <w:rsid w:val="00E86C9A"/>
    <w:rsid w:val="00EB58CD"/>
    <w:rsid w:val="00EB6568"/>
    <w:rsid w:val="00EC55BD"/>
    <w:rsid w:val="00ED6385"/>
    <w:rsid w:val="00EF1B45"/>
    <w:rsid w:val="00F0593D"/>
    <w:rsid w:val="00F22EB4"/>
    <w:rsid w:val="00F31EEB"/>
    <w:rsid w:val="00F46B09"/>
    <w:rsid w:val="00F64E97"/>
    <w:rsid w:val="00F91DD2"/>
    <w:rsid w:val="00FA1A2D"/>
    <w:rsid w:val="00FB492E"/>
    <w:rsid w:val="00FC5D2A"/>
    <w:rsid w:val="00FD42BA"/>
    <w:rsid w:val="00FE004B"/>
    <w:rsid w:val="00FE2B85"/>
    <w:rsid w:val="00FF2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C0327E-D335-4413-92BB-8392C3F8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66A"/>
  </w:style>
  <w:style w:type="paragraph" w:styleId="Titre1">
    <w:name w:val="heading 1"/>
    <w:basedOn w:val="Normal"/>
    <w:next w:val="Normal"/>
    <w:link w:val="Titre1Car"/>
    <w:uiPriority w:val="9"/>
    <w:qFormat/>
    <w:rsid w:val="00D95A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7123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551"/>
    <w:pPr>
      <w:ind w:left="720"/>
      <w:contextualSpacing/>
    </w:pPr>
  </w:style>
  <w:style w:type="paragraph" w:styleId="Textedebulles">
    <w:name w:val="Balloon Text"/>
    <w:basedOn w:val="Normal"/>
    <w:link w:val="TextedebullesCar"/>
    <w:uiPriority w:val="99"/>
    <w:semiHidden/>
    <w:unhideWhenUsed/>
    <w:rsid w:val="007B67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6702"/>
    <w:rPr>
      <w:rFonts w:ascii="Tahoma" w:hAnsi="Tahoma" w:cs="Tahoma"/>
      <w:sz w:val="16"/>
      <w:szCs w:val="16"/>
    </w:rPr>
  </w:style>
  <w:style w:type="paragraph" w:styleId="En-tte">
    <w:name w:val="header"/>
    <w:basedOn w:val="Normal"/>
    <w:link w:val="En-tteCar"/>
    <w:uiPriority w:val="99"/>
    <w:unhideWhenUsed/>
    <w:rsid w:val="009243FE"/>
    <w:pPr>
      <w:tabs>
        <w:tab w:val="center" w:pos="4536"/>
        <w:tab w:val="right" w:pos="9072"/>
      </w:tabs>
      <w:spacing w:after="0" w:line="240" w:lineRule="auto"/>
    </w:pPr>
  </w:style>
  <w:style w:type="character" w:customStyle="1" w:styleId="En-tteCar">
    <w:name w:val="En-tête Car"/>
    <w:basedOn w:val="Policepardfaut"/>
    <w:link w:val="En-tte"/>
    <w:uiPriority w:val="99"/>
    <w:rsid w:val="009243FE"/>
  </w:style>
  <w:style w:type="paragraph" w:styleId="Pieddepage">
    <w:name w:val="footer"/>
    <w:basedOn w:val="Normal"/>
    <w:link w:val="PieddepageCar"/>
    <w:uiPriority w:val="99"/>
    <w:unhideWhenUsed/>
    <w:rsid w:val="009243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3FE"/>
  </w:style>
  <w:style w:type="table" w:styleId="Grilledutableau">
    <w:name w:val="Table Grid"/>
    <w:basedOn w:val="TableauNormal"/>
    <w:uiPriority w:val="59"/>
    <w:rsid w:val="00D6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6568"/>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EB6568"/>
    <w:rPr>
      <w:color w:val="0000FF" w:themeColor="hyperlink"/>
      <w:u w:val="single"/>
    </w:rPr>
  </w:style>
  <w:style w:type="paragraph" w:styleId="Titre">
    <w:name w:val="Title"/>
    <w:basedOn w:val="Normal"/>
    <w:link w:val="TitreCar"/>
    <w:uiPriority w:val="99"/>
    <w:qFormat/>
    <w:rsid w:val="0071236E"/>
    <w:pPr>
      <w:spacing w:before="120" w:after="0" w:line="288" w:lineRule="auto"/>
      <w:ind w:left="-142" w:right="-177"/>
      <w:jc w:val="center"/>
      <w:outlineLvl w:val="0"/>
    </w:pPr>
    <w:rPr>
      <w:rFonts w:ascii="Arial" w:eastAsia="Times New Roman" w:hAnsi="Arial" w:cs="Arial"/>
      <w:b/>
      <w:noProof/>
      <w:color w:val="514B64"/>
      <w:sz w:val="32"/>
      <w:szCs w:val="32"/>
    </w:rPr>
  </w:style>
  <w:style w:type="character" w:customStyle="1" w:styleId="TitreCar">
    <w:name w:val="Titre Car"/>
    <w:basedOn w:val="Policepardfaut"/>
    <w:link w:val="Titre"/>
    <w:uiPriority w:val="99"/>
    <w:rsid w:val="0071236E"/>
    <w:rPr>
      <w:rFonts w:ascii="Arial" w:eastAsia="Times New Roman" w:hAnsi="Arial" w:cs="Arial"/>
      <w:b/>
      <w:noProof/>
      <w:color w:val="514B64"/>
      <w:sz w:val="32"/>
      <w:szCs w:val="32"/>
    </w:rPr>
  </w:style>
  <w:style w:type="paragraph" w:styleId="Sous-titre">
    <w:name w:val="Subtitle"/>
    <w:basedOn w:val="Titre"/>
    <w:next w:val="Normal"/>
    <w:link w:val="Sous-titreCar"/>
    <w:qFormat/>
    <w:rsid w:val="0071236E"/>
    <w:pPr>
      <w:ind w:right="-176"/>
    </w:pPr>
    <w:rPr>
      <w:sz w:val="24"/>
      <w:szCs w:val="24"/>
    </w:rPr>
  </w:style>
  <w:style w:type="character" w:customStyle="1" w:styleId="Sous-titreCar">
    <w:name w:val="Sous-titre Car"/>
    <w:basedOn w:val="Policepardfaut"/>
    <w:link w:val="Sous-titre"/>
    <w:rsid w:val="0071236E"/>
    <w:rPr>
      <w:rFonts w:ascii="Arial" w:eastAsia="Times New Roman" w:hAnsi="Arial" w:cs="Arial"/>
      <w:b/>
      <w:noProof/>
      <w:color w:val="514B64"/>
      <w:sz w:val="24"/>
      <w:szCs w:val="24"/>
    </w:rPr>
  </w:style>
  <w:style w:type="paragraph" w:customStyle="1" w:styleId="cadrerf">
    <w:name w:val="cadre réf."/>
    <w:basedOn w:val="Titre2"/>
    <w:link w:val="cadrerfCar"/>
    <w:qFormat/>
    <w:rsid w:val="0071236E"/>
    <w:pPr>
      <w:keepLines w:val="0"/>
      <w:spacing w:before="0" w:line="240" w:lineRule="auto"/>
    </w:pPr>
    <w:rPr>
      <w:rFonts w:ascii="Arial" w:eastAsia="Times" w:hAnsi="Arial" w:cs="Arial"/>
      <w:bCs w:val="0"/>
      <w:noProof/>
      <w:color w:val="514B64"/>
      <w:sz w:val="18"/>
      <w:szCs w:val="18"/>
      <w:lang w:eastAsia="fr-FR"/>
    </w:rPr>
  </w:style>
  <w:style w:type="character" w:customStyle="1" w:styleId="cadrerfCar">
    <w:name w:val="cadre réf. Car"/>
    <w:basedOn w:val="Titre2Car"/>
    <w:link w:val="cadrerf"/>
    <w:rsid w:val="0071236E"/>
    <w:rPr>
      <w:rFonts w:ascii="Arial" w:eastAsia="Times" w:hAnsi="Arial" w:cs="Arial"/>
      <w:b/>
      <w:bCs w:val="0"/>
      <w:noProof/>
      <w:color w:val="514B64"/>
      <w:sz w:val="18"/>
      <w:szCs w:val="18"/>
      <w:lang w:eastAsia="fr-FR"/>
    </w:rPr>
  </w:style>
  <w:style w:type="paragraph" w:styleId="Sansinterligne">
    <w:name w:val="No Spacing"/>
    <w:basedOn w:val="cadrerf"/>
    <w:uiPriority w:val="1"/>
    <w:qFormat/>
    <w:rsid w:val="0071236E"/>
    <w:rPr>
      <w:b w:val="0"/>
    </w:rPr>
  </w:style>
  <w:style w:type="character" w:customStyle="1" w:styleId="Titre2Car">
    <w:name w:val="Titre 2 Car"/>
    <w:basedOn w:val="Policepardfaut"/>
    <w:link w:val="Titre2"/>
    <w:uiPriority w:val="9"/>
    <w:semiHidden/>
    <w:rsid w:val="0071236E"/>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7A2A42"/>
    <w:rPr>
      <w:b/>
      <w:bCs/>
    </w:rPr>
  </w:style>
  <w:style w:type="paragraph" w:styleId="Notedebasdepage">
    <w:name w:val="footnote text"/>
    <w:basedOn w:val="Normal"/>
    <w:link w:val="NotedebasdepageCar"/>
    <w:uiPriority w:val="99"/>
    <w:semiHidden/>
    <w:unhideWhenUsed/>
    <w:rsid w:val="00B733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3346"/>
    <w:rPr>
      <w:sz w:val="20"/>
      <w:szCs w:val="20"/>
    </w:rPr>
  </w:style>
  <w:style w:type="character" w:styleId="Appelnotedebasdep">
    <w:name w:val="footnote reference"/>
    <w:basedOn w:val="Policepardfaut"/>
    <w:uiPriority w:val="99"/>
    <w:semiHidden/>
    <w:unhideWhenUsed/>
    <w:rsid w:val="00B73346"/>
    <w:rPr>
      <w:vertAlign w:val="superscript"/>
    </w:rPr>
  </w:style>
  <w:style w:type="character" w:styleId="Lienhypertextesuivivisit">
    <w:name w:val="FollowedHyperlink"/>
    <w:basedOn w:val="Policepardfaut"/>
    <w:uiPriority w:val="99"/>
    <w:semiHidden/>
    <w:unhideWhenUsed/>
    <w:rsid w:val="00FA1A2D"/>
    <w:rPr>
      <w:color w:val="800080" w:themeColor="followedHyperlink"/>
      <w:u w:val="single"/>
    </w:rPr>
  </w:style>
  <w:style w:type="character" w:customStyle="1" w:styleId="Titre1Car">
    <w:name w:val="Titre 1 Car"/>
    <w:basedOn w:val="Policepardfaut"/>
    <w:link w:val="Titre1"/>
    <w:uiPriority w:val="9"/>
    <w:rsid w:val="00D95AB2"/>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D95AB2"/>
    <w:pPr>
      <w:spacing w:line="259" w:lineRule="auto"/>
      <w:outlineLvl w:val="9"/>
    </w:pPr>
    <w:rPr>
      <w:lang w:eastAsia="fr-FR"/>
    </w:rPr>
  </w:style>
  <w:style w:type="paragraph" w:styleId="TM1">
    <w:name w:val="toc 1"/>
    <w:basedOn w:val="Normal"/>
    <w:next w:val="Normal"/>
    <w:autoRedefine/>
    <w:uiPriority w:val="39"/>
    <w:unhideWhenUsed/>
    <w:rsid w:val="0068711A"/>
    <w:pPr>
      <w:tabs>
        <w:tab w:val="right" w:leader="dot" w:pos="9062"/>
      </w:tabs>
      <w:spacing w:after="100"/>
    </w:pPr>
  </w:style>
  <w:style w:type="paragraph" w:styleId="TM2">
    <w:name w:val="toc 2"/>
    <w:basedOn w:val="Normal"/>
    <w:next w:val="Normal"/>
    <w:autoRedefine/>
    <w:uiPriority w:val="39"/>
    <w:unhideWhenUsed/>
    <w:rsid w:val="00353512"/>
    <w:pPr>
      <w:tabs>
        <w:tab w:val="left" w:pos="567"/>
        <w:tab w:val="right" w:leader="dot" w:pos="9062"/>
      </w:tabs>
      <w:spacing w:after="100" w:line="259" w:lineRule="auto"/>
      <w:ind w:left="220"/>
    </w:pPr>
    <w:rPr>
      <w:rFonts w:eastAsiaTheme="minorEastAsia" w:cs="Times New Roman"/>
      <w:lang w:eastAsia="fr-FR"/>
    </w:rPr>
  </w:style>
  <w:style w:type="paragraph" w:styleId="TM3">
    <w:name w:val="toc 3"/>
    <w:basedOn w:val="Normal"/>
    <w:next w:val="Normal"/>
    <w:autoRedefine/>
    <w:uiPriority w:val="39"/>
    <w:unhideWhenUsed/>
    <w:rsid w:val="00353512"/>
    <w:pPr>
      <w:tabs>
        <w:tab w:val="left" w:pos="709"/>
        <w:tab w:val="right" w:leader="dot" w:pos="9062"/>
      </w:tabs>
      <w:spacing w:after="100" w:line="259" w:lineRule="auto"/>
      <w:ind w:left="440" w:hanging="298"/>
    </w:pPr>
    <w:rPr>
      <w:rFonts w:eastAsiaTheme="minorEastAsia" w:cs="Times New Roman"/>
      <w:lang w:eastAsia="fr-FR"/>
    </w:rPr>
  </w:style>
  <w:style w:type="character" w:styleId="Marquedecommentaire">
    <w:name w:val="annotation reference"/>
    <w:basedOn w:val="Policepardfaut"/>
    <w:uiPriority w:val="99"/>
    <w:semiHidden/>
    <w:unhideWhenUsed/>
    <w:rsid w:val="00DB215D"/>
    <w:rPr>
      <w:sz w:val="16"/>
      <w:szCs w:val="16"/>
    </w:rPr>
  </w:style>
  <w:style w:type="paragraph" w:styleId="Commentaire">
    <w:name w:val="annotation text"/>
    <w:basedOn w:val="Normal"/>
    <w:link w:val="CommentaireCar"/>
    <w:uiPriority w:val="99"/>
    <w:semiHidden/>
    <w:unhideWhenUsed/>
    <w:rsid w:val="00DB215D"/>
    <w:pPr>
      <w:spacing w:line="240" w:lineRule="auto"/>
    </w:pPr>
    <w:rPr>
      <w:sz w:val="20"/>
      <w:szCs w:val="20"/>
    </w:rPr>
  </w:style>
  <w:style w:type="character" w:customStyle="1" w:styleId="CommentaireCar">
    <w:name w:val="Commentaire Car"/>
    <w:basedOn w:val="Policepardfaut"/>
    <w:link w:val="Commentaire"/>
    <w:uiPriority w:val="99"/>
    <w:semiHidden/>
    <w:rsid w:val="00DB215D"/>
    <w:rPr>
      <w:sz w:val="20"/>
      <w:szCs w:val="20"/>
    </w:rPr>
  </w:style>
  <w:style w:type="paragraph" w:styleId="Objetducommentaire">
    <w:name w:val="annotation subject"/>
    <w:basedOn w:val="Commentaire"/>
    <w:next w:val="Commentaire"/>
    <w:link w:val="ObjetducommentaireCar"/>
    <w:uiPriority w:val="99"/>
    <w:semiHidden/>
    <w:unhideWhenUsed/>
    <w:rsid w:val="00DB215D"/>
    <w:rPr>
      <w:b/>
      <w:bCs/>
    </w:rPr>
  </w:style>
  <w:style w:type="character" w:customStyle="1" w:styleId="ObjetducommentaireCar">
    <w:name w:val="Objet du commentaire Car"/>
    <w:basedOn w:val="CommentaireCar"/>
    <w:link w:val="Objetducommentaire"/>
    <w:uiPriority w:val="99"/>
    <w:semiHidden/>
    <w:rsid w:val="00DB215D"/>
    <w:rPr>
      <w:b/>
      <w:bCs/>
      <w:sz w:val="20"/>
      <w:szCs w:val="20"/>
    </w:rPr>
  </w:style>
  <w:style w:type="paragraph" w:styleId="Rvision">
    <w:name w:val="Revision"/>
    <w:hidden/>
    <w:uiPriority w:val="99"/>
    <w:semiHidden/>
    <w:rsid w:val="007F4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6402">
      <w:bodyDiv w:val="1"/>
      <w:marLeft w:val="0"/>
      <w:marRight w:val="0"/>
      <w:marTop w:val="0"/>
      <w:marBottom w:val="0"/>
      <w:divBdr>
        <w:top w:val="none" w:sz="0" w:space="0" w:color="auto"/>
        <w:left w:val="none" w:sz="0" w:space="0" w:color="auto"/>
        <w:bottom w:val="none" w:sz="0" w:space="0" w:color="auto"/>
        <w:right w:val="none" w:sz="0" w:space="0" w:color="auto"/>
      </w:divBdr>
    </w:div>
    <w:div w:id="263147562">
      <w:bodyDiv w:val="1"/>
      <w:marLeft w:val="0"/>
      <w:marRight w:val="0"/>
      <w:marTop w:val="0"/>
      <w:marBottom w:val="0"/>
      <w:divBdr>
        <w:top w:val="none" w:sz="0" w:space="0" w:color="auto"/>
        <w:left w:val="none" w:sz="0" w:space="0" w:color="auto"/>
        <w:bottom w:val="none" w:sz="0" w:space="0" w:color="auto"/>
        <w:right w:val="none" w:sz="0" w:space="0" w:color="auto"/>
      </w:divBdr>
    </w:div>
    <w:div w:id="361904988">
      <w:bodyDiv w:val="1"/>
      <w:marLeft w:val="0"/>
      <w:marRight w:val="0"/>
      <w:marTop w:val="0"/>
      <w:marBottom w:val="0"/>
      <w:divBdr>
        <w:top w:val="none" w:sz="0" w:space="0" w:color="auto"/>
        <w:left w:val="none" w:sz="0" w:space="0" w:color="auto"/>
        <w:bottom w:val="none" w:sz="0" w:space="0" w:color="auto"/>
        <w:right w:val="none" w:sz="0" w:space="0" w:color="auto"/>
      </w:divBdr>
    </w:div>
    <w:div w:id="420679948">
      <w:bodyDiv w:val="1"/>
      <w:marLeft w:val="0"/>
      <w:marRight w:val="0"/>
      <w:marTop w:val="0"/>
      <w:marBottom w:val="0"/>
      <w:divBdr>
        <w:top w:val="none" w:sz="0" w:space="0" w:color="auto"/>
        <w:left w:val="none" w:sz="0" w:space="0" w:color="auto"/>
        <w:bottom w:val="none" w:sz="0" w:space="0" w:color="auto"/>
        <w:right w:val="none" w:sz="0" w:space="0" w:color="auto"/>
      </w:divBdr>
    </w:div>
    <w:div w:id="538014811">
      <w:bodyDiv w:val="1"/>
      <w:marLeft w:val="0"/>
      <w:marRight w:val="0"/>
      <w:marTop w:val="0"/>
      <w:marBottom w:val="0"/>
      <w:divBdr>
        <w:top w:val="none" w:sz="0" w:space="0" w:color="auto"/>
        <w:left w:val="none" w:sz="0" w:space="0" w:color="auto"/>
        <w:bottom w:val="none" w:sz="0" w:space="0" w:color="auto"/>
        <w:right w:val="none" w:sz="0" w:space="0" w:color="auto"/>
      </w:divBdr>
    </w:div>
    <w:div w:id="692852231">
      <w:bodyDiv w:val="1"/>
      <w:marLeft w:val="0"/>
      <w:marRight w:val="0"/>
      <w:marTop w:val="0"/>
      <w:marBottom w:val="0"/>
      <w:divBdr>
        <w:top w:val="none" w:sz="0" w:space="0" w:color="auto"/>
        <w:left w:val="none" w:sz="0" w:space="0" w:color="auto"/>
        <w:bottom w:val="none" w:sz="0" w:space="0" w:color="auto"/>
        <w:right w:val="none" w:sz="0" w:space="0" w:color="auto"/>
      </w:divBdr>
    </w:div>
    <w:div w:id="1187254845">
      <w:bodyDiv w:val="1"/>
      <w:marLeft w:val="0"/>
      <w:marRight w:val="0"/>
      <w:marTop w:val="0"/>
      <w:marBottom w:val="0"/>
      <w:divBdr>
        <w:top w:val="none" w:sz="0" w:space="0" w:color="auto"/>
        <w:left w:val="none" w:sz="0" w:space="0" w:color="auto"/>
        <w:bottom w:val="none" w:sz="0" w:space="0" w:color="auto"/>
        <w:right w:val="none" w:sz="0" w:space="0" w:color="auto"/>
      </w:divBdr>
    </w:div>
    <w:div w:id="1258907831">
      <w:bodyDiv w:val="1"/>
      <w:marLeft w:val="0"/>
      <w:marRight w:val="0"/>
      <w:marTop w:val="0"/>
      <w:marBottom w:val="0"/>
      <w:divBdr>
        <w:top w:val="none" w:sz="0" w:space="0" w:color="auto"/>
        <w:left w:val="none" w:sz="0" w:space="0" w:color="auto"/>
        <w:bottom w:val="none" w:sz="0" w:space="0" w:color="auto"/>
        <w:right w:val="none" w:sz="0" w:space="0" w:color="auto"/>
      </w:divBdr>
    </w:div>
    <w:div w:id="1280062431">
      <w:bodyDiv w:val="1"/>
      <w:marLeft w:val="0"/>
      <w:marRight w:val="0"/>
      <w:marTop w:val="0"/>
      <w:marBottom w:val="0"/>
      <w:divBdr>
        <w:top w:val="none" w:sz="0" w:space="0" w:color="auto"/>
        <w:left w:val="none" w:sz="0" w:space="0" w:color="auto"/>
        <w:bottom w:val="none" w:sz="0" w:space="0" w:color="auto"/>
        <w:right w:val="none" w:sz="0" w:space="0" w:color="auto"/>
      </w:divBdr>
    </w:div>
    <w:div w:id="1732196166">
      <w:bodyDiv w:val="1"/>
      <w:marLeft w:val="0"/>
      <w:marRight w:val="0"/>
      <w:marTop w:val="0"/>
      <w:marBottom w:val="0"/>
      <w:divBdr>
        <w:top w:val="none" w:sz="0" w:space="0" w:color="auto"/>
        <w:left w:val="none" w:sz="0" w:space="0" w:color="auto"/>
        <w:bottom w:val="none" w:sz="0" w:space="0" w:color="auto"/>
        <w:right w:val="none" w:sz="0" w:space="0" w:color="auto"/>
      </w:divBdr>
    </w:div>
    <w:div w:id="1795980865">
      <w:bodyDiv w:val="1"/>
      <w:marLeft w:val="0"/>
      <w:marRight w:val="0"/>
      <w:marTop w:val="0"/>
      <w:marBottom w:val="0"/>
      <w:divBdr>
        <w:top w:val="none" w:sz="0" w:space="0" w:color="auto"/>
        <w:left w:val="none" w:sz="0" w:space="0" w:color="auto"/>
        <w:bottom w:val="none" w:sz="0" w:space="0" w:color="auto"/>
        <w:right w:val="none" w:sz="0" w:space="0" w:color="auto"/>
      </w:divBdr>
    </w:div>
    <w:div w:id="1884058150">
      <w:bodyDiv w:val="1"/>
      <w:marLeft w:val="0"/>
      <w:marRight w:val="0"/>
      <w:marTop w:val="0"/>
      <w:marBottom w:val="0"/>
      <w:divBdr>
        <w:top w:val="none" w:sz="0" w:space="0" w:color="auto"/>
        <w:left w:val="none" w:sz="0" w:space="0" w:color="auto"/>
        <w:bottom w:val="none" w:sz="0" w:space="0" w:color="auto"/>
        <w:right w:val="none" w:sz="0" w:space="0" w:color="auto"/>
      </w:divBdr>
    </w:div>
    <w:div w:id="19699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culaire.legifrance.gouv.fr/pdf/2011/01/cir_3232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idarites-sante.gouv.fr/soins-et-maladies/prises-en-charge-specialisees/infections-osteo-articulaires/article/infections-osteo-articulaires-complex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rculaire.legifrance.gouv.fr/pdf/2011/01/cir_323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olidarites-sante.gouv.fr/fichiers/bos/2017/sts_20170006_0001_p000.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799D-2C3D-4577-B0ED-4DE436DD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11309</Words>
  <Characters>62200</Characters>
  <Application>Microsoft Office Word</Application>
  <DocSecurity>4</DocSecurity>
  <Lines>518</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HAMON</dc:creator>
  <cp:keywords/>
  <dc:description/>
  <cp:lastModifiedBy>Sandra STEUNOU</cp:lastModifiedBy>
  <cp:revision>2</cp:revision>
  <cp:lastPrinted>2017-10-18T07:37:00Z</cp:lastPrinted>
  <dcterms:created xsi:type="dcterms:W3CDTF">2018-11-15T15:46:00Z</dcterms:created>
  <dcterms:modified xsi:type="dcterms:W3CDTF">2018-11-15T15:46:00Z</dcterms:modified>
</cp:coreProperties>
</file>